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C76CA9" w:rsidRDefault="00F4290D">
      <w:pPr>
        <w:shd w:val="clear" w:color="auto" w:fill="FFFFFF"/>
        <w:spacing w:after="240"/>
        <w:rPr>
          <w:rFonts w:ascii="Roboto" w:eastAsia="Roboto" w:hAnsi="Roboto" w:cs="Roboto"/>
          <w:b/>
          <w:bCs/>
          <w:color w:val="212529"/>
          <w:sz w:val="24"/>
          <w:szCs w:val="24"/>
        </w:rPr>
      </w:pPr>
      <w:bookmarkStart w:id="0" w:name="_GoBack"/>
      <w:bookmarkEnd w:id="0"/>
      <w:r>
        <w:rPr>
          <w:rFonts w:ascii="Roboto" w:eastAsia="Roboto" w:hAnsi="Roboto" w:cs="Roboto"/>
          <w:b/>
          <w:bCs/>
          <w:color w:val="212529"/>
          <w:sz w:val="24"/>
          <w:szCs w:val="24"/>
        </w:rPr>
        <w:t>Katarzyna Pełczyńska-Nałęcz</w:t>
      </w:r>
      <w:r>
        <w:rPr>
          <w:rFonts w:ascii="Roboto" w:eastAsia="Roboto" w:hAnsi="Roboto" w:cs="Roboto"/>
          <w:b/>
          <w:bCs/>
          <w:color w:val="212529"/>
          <w:sz w:val="24"/>
          <w:szCs w:val="24"/>
        </w:rPr>
        <w:br/>
        <w:t>Minister Funduszy i Polityki Regionalnej</w:t>
      </w:r>
      <w:r>
        <w:rPr>
          <w:rFonts w:ascii="Roboto" w:eastAsia="Roboto" w:hAnsi="Roboto" w:cs="Roboto"/>
          <w:b/>
          <w:bCs/>
          <w:color w:val="212529"/>
          <w:sz w:val="24"/>
          <w:szCs w:val="24"/>
        </w:rPr>
        <w:br/>
      </w:r>
      <w:r>
        <w:rPr>
          <w:rFonts w:ascii="Roboto" w:eastAsia="Roboto" w:hAnsi="Roboto" w:cs="Roboto"/>
          <w:b/>
          <w:bCs/>
          <w:color w:val="212529"/>
          <w:sz w:val="24"/>
          <w:szCs w:val="24"/>
        </w:rPr>
        <w:br/>
        <w:t>Stefan Krajewski</w:t>
      </w:r>
      <w:r>
        <w:rPr>
          <w:rFonts w:ascii="Roboto" w:eastAsia="Roboto" w:hAnsi="Roboto" w:cs="Roboto"/>
          <w:b/>
          <w:bCs/>
          <w:color w:val="212529"/>
          <w:sz w:val="24"/>
          <w:szCs w:val="24"/>
        </w:rPr>
        <w:br/>
        <w:t xml:space="preserve">Minister Rolnictwa i Rozwoju Wsi </w:t>
      </w:r>
    </w:p>
    <w:p w14:paraId="00000002" w14:textId="77777777" w:rsidR="00C76CA9" w:rsidRDefault="00F4290D">
      <w:pPr>
        <w:shd w:val="clear" w:color="auto" w:fill="FFFFFF"/>
        <w:spacing w:after="24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>Obszary wiejskie odgrywają kluczową rolę w realizacji spójności gospodarczej, społecznej i terytorialnej Unii Europejskiej, zgodnie z art. 174 Traktatu o funkcjonowaniu UE. Wymagają one jasno określonego, systemowego i mierzalnego wsparcia w przyszłej arch</w:t>
      </w:r>
      <w:r>
        <w:rPr>
          <w:rFonts w:ascii="Roboto" w:eastAsia="Roboto" w:hAnsi="Roboto" w:cs="Roboto"/>
          <w:color w:val="212529"/>
          <w:sz w:val="24"/>
          <w:szCs w:val="24"/>
        </w:rPr>
        <w:t>itekturze finansowej Unii.</w:t>
      </w:r>
    </w:p>
    <w:p w14:paraId="00000003" w14:textId="77777777" w:rsidR="00C76CA9" w:rsidRDefault="00F4290D">
      <w:pPr>
        <w:shd w:val="clear" w:color="auto" w:fill="FFFFFF"/>
        <w:spacing w:after="24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 xml:space="preserve">W kontekście prac nad Wieloletnimi Ramami Finansowymi UE na lata 2028–2034 oraz Planem Partnerstwa Krajowego i Regionalnego wnosimy o wyraźne i obowiązkowe wzmocnienie </w:t>
      </w:r>
      <w:proofErr w:type="spellStart"/>
      <w:r>
        <w:rPr>
          <w:rFonts w:ascii="Roboto" w:eastAsia="Roboto" w:hAnsi="Roboto" w:cs="Roboto"/>
          <w:color w:val="212529"/>
          <w:sz w:val="24"/>
          <w:szCs w:val="24"/>
        </w:rPr>
        <w:t>rural</w:t>
      </w:r>
      <w:proofErr w:type="spellEnd"/>
      <w:r>
        <w:rPr>
          <w:rFonts w:ascii="Roboto" w:eastAsia="Roboto" w:hAnsi="Roboto" w:cs="Roboto"/>
          <w:color w:val="212529"/>
          <w:sz w:val="24"/>
          <w:szCs w:val="24"/>
        </w:rPr>
        <w:t xml:space="preserve"> target jako horyzontalnego celu polityk publicznych UE.</w:t>
      </w:r>
    </w:p>
    <w:p w14:paraId="00000004" w14:textId="77777777" w:rsidR="00C76CA9" w:rsidRDefault="00F4290D">
      <w:pPr>
        <w:pStyle w:val="Nagwek3"/>
        <w:keepNext w:val="0"/>
        <w:keepLines w:val="0"/>
        <w:pBdr>
          <w:top w:val="none" w:sz="0" w:space="7" w:color="auto"/>
        </w:pBdr>
        <w:shd w:val="clear" w:color="auto" w:fill="FFFFFF"/>
        <w:spacing w:before="280" w:after="140" w:line="288" w:lineRule="auto"/>
        <w:rPr>
          <w:rFonts w:ascii="Verdana" w:eastAsia="Verdana" w:hAnsi="Verdana" w:cs="Verdana"/>
          <w:b/>
          <w:bCs/>
          <w:color w:val="3D7BAE"/>
          <w:sz w:val="20"/>
          <w:szCs w:val="20"/>
        </w:rPr>
      </w:pPr>
      <w:bookmarkStart w:id="1" w:name="_9kvte563yolf" w:colFirst="0" w:colLast="0"/>
      <w:bookmarkEnd w:id="1"/>
      <w:r>
        <w:rPr>
          <w:rFonts w:ascii="Verdana" w:eastAsia="Verdana" w:hAnsi="Verdana" w:cs="Verdana"/>
          <w:b/>
          <w:bCs/>
          <w:color w:val="3D7BAE"/>
          <w:sz w:val="20"/>
          <w:szCs w:val="20"/>
        </w:rPr>
        <w:t>Dlatego postulujemy o:</w:t>
      </w:r>
    </w:p>
    <w:p w14:paraId="00000005" w14:textId="77777777" w:rsidR="00C76CA9" w:rsidRDefault="00F4290D">
      <w:pPr>
        <w:numPr>
          <w:ilvl w:val="0"/>
          <w:numId w:val="3"/>
        </w:numPr>
      </w:pPr>
      <w:r>
        <w:rPr>
          <w:rFonts w:ascii="Roboto" w:eastAsia="Roboto" w:hAnsi="Roboto" w:cs="Roboto"/>
          <w:color w:val="212529"/>
          <w:sz w:val="24"/>
          <w:szCs w:val="24"/>
        </w:rPr>
        <w:t xml:space="preserve">Przeznaczenie co najmniej 30% środków Planu Partnerstwa Krajowego i Regionalnego na realizację </w:t>
      </w:r>
      <w:proofErr w:type="spellStart"/>
      <w:r>
        <w:rPr>
          <w:rFonts w:ascii="Roboto" w:eastAsia="Roboto" w:hAnsi="Roboto" w:cs="Roboto"/>
          <w:color w:val="212529"/>
          <w:sz w:val="24"/>
          <w:szCs w:val="24"/>
        </w:rPr>
        <w:t>rural</w:t>
      </w:r>
      <w:proofErr w:type="spellEnd"/>
      <w:r>
        <w:rPr>
          <w:rFonts w:ascii="Roboto" w:eastAsia="Roboto" w:hAnsi="Roboto" w:cs="Roboto"/>
          <w:color w:val="212529"/>
          <w:sz w:val="24"/>
          <w:szCs w:val="24"/>
        </w:rPr>
        <w:t xml:space="preserve"> target, zapewniające realne i systemowe uwzględnienie potrzeb obszarów wiejskich we wszystkich właściwych politykach.</w:t>
      </w:r>
    </w:p>
    <w:p w14:paraId="00000006" w14:textId="77777777" w:rsidR="00C76CA9" w:rsidRDefault="00F4290D">
      <w:pPr>
        <w:numPr>
          <w:ilvl w:val="0"/>
          <w:numId w:val="3"/>
        </w:numPr>
      </w:pPr>
      <w:r>
        <w:rPr>
          <w:rFonts w:ascii="Roboto" w:eastAsia="Roboto" w:hAnsi="Roboto" w:cs="Roboto"/>
          <w:color w:val="212529"/>
          <w:sz w:val="24"/>
          <w:szCs w:val="24"/>
        </w:rPr>
        <w:t>Obowiązkowe w</w:t>
      </w:r>
      <w:r>
        <w:rPr>
          <w:rFonts w:ascii="Roboto" w:eastAsia="Roboto" w:hAnsi="Roboto" w:cs="Roboto"/>
          <w:color w:val="212529"/>
          <w:sz w:val="24"/>
          <w:szCs w:val="24"/>
        </w:rPr>
        <w:t xml:space="preserve">drożenie podejścia LEADER / RLKS, z przeznaczeniem minimum 30% środków </w:t>
      </w:r>
      <w:proofErr w:type="spellStart"/>
      <w:r>
        <w:rPr>
          <w:rFonts w:ascii="Roboto" w:eastAsia="Roboto" w:hAnsi="Roboto" w:cs="Roboto"/>
          <w:color w:val="212529"/>
          <w:sz w:val="24"/>
          <w:szCs w:val="24"/>
        </w:rPr>
        <w:t>rural</w:t>
      </w:r>
      <w:proofErr w:type="spellEnd"/>
      <w:r>
        <w:rPr>
          <w:rFonts w:ascii="Roboto" w:eastAsia="Roboto" w:hAnsi="Roboto" w:cs="Roboto"/>
          <w:color w:val="212529"/>
          <w:sz w:val="24"/>
          <w:szCs w:val="24"/>
        </w:rPr>
        <w:t xml:space="preserve"> target na rozwój lokalny kierowany przez społeczność.</w:t>
      </w:r>
    </w:p>
    <w:p w14:paraId="00000007" w14:textId="77777777" w:rsidR="00C76CA9" w:rsidRDefault="00F4290D">
      <w:pPr>
        <w:numPr>
          <w:ilvl w:val="0"/>
          <w:numId w:val="3"/>
        </w:numPr>
      </w:pPr>
      <w:r>
        <w:rPr>
          <w:rFonts w:ascii="Roboto" w:eastAsia="Roboto" w:hAnsi="Roboto" w:cs="Roboto"/>
          <w:color w:val="212529"/>
          <w:sz w:val="24"/>
          <w:szCs w:val="24"/>
        </w:rPr>
        <w:t>Uznanie LEADER‑RLKS za kluczowy instrument terytorialny, oparty na podejściu oddolnym, partnerskim i zintegrowanym, odpowiada</w:t>
      </w:r>
      <w:r>
        <w:rPr>
          <w:rFonts w:ascii="Roboto" w:eastAsia="Roboto" w:hAnsi="Roboto" w:cs="Roboto"/>
          <w:color w:val="212529"/>
          <w:sz w:val="24"/>
          <w:szCs w:val="24"/>
        </w:rPr>
        <w:t>jącym na lokalne potrzeby rozwojowe.</w:t>
      </w:r>
    </w:p>
    <w:p w14:paraId="00000008" w14:textId="77777777" w:rsidR="00C76CA9" w:rsidRDefault="00F4290D">
      <w:pPr>
        <w:numPr>
          <w:ilvl w:val="0"/>
          <w:numId w:val="3"/>
        </w:numPr>
        <w:spacing w:after="240"/>
      </w:pPr>
      <w:r>
        <w:rPr>
          <w:rFonts w:ascii="Roboto" w:eastAsia="Roboto" w:hAnsi="Roboto" w:cs="Roboto"/>
          <w:color w:val="212529"/>
          <w:sz w:val="24"/>
          <w:szCs w:val="24"/>
        </w:rPr>
        <w:t>Zapewnienie jasnej koordynacji na poziomie krajowym, gwarantującej spójność polityki rozwoju obszarów wiejskich z polityką spójności przy aktywnym udziale samorządów regionalnych i lokalnych partnerstw.</w:t>
      </w:r>
    </w:p>
    <w:p w14:paraId="00000009" w14:textId="77777777" w:rsidR="00C76CA9" w:rsidRDefault="00F4290D">
      <w:pPr>
        <w:pStyle w:val="Nagwek3"/>
        <w:keepNext w:val="0"/>
        <w:keepLines w:val="0"/>
        <w:pBdr>
          <w:top w:val="none" w:sz="0" w:space="7" w:color="auto"/>
        </w:pBdr>
        <w:shd w:val="clear" w:color="auto" w:fill="FFFFFF"/>
        <w:spacing w:before="280" w:after="140" w:line="288" w:lineRule="auto"/>
        <w:rPr>
          <w:rFonts w:ascii="Verdana" w:eastAsia="Verdana" w:hAnsi="Verdana" w:cs="Verdana"/>
          <w:b/>
          <w:bCs/>
          <w:color w:val="3D7BAE"/>
          <w:sz w:val="20"/>
          <w:szCs w:val="20"/>
        </w:rPr>
      </w:pPr>
      <w:bookmarkStart w:id="2" w:name="_3a8yok1cy6a" w:colFirst="0" w:colLast="0"/>
      <w:bookmarkEnd w:id="2"/>
      <w:r>
        <w:rPr>
          <w:rFonts w:ascii="Verdana" w:eastAsia="Verdana" w:hAnsi="Verdana" w:cs="Verdana"/>
          <w:b/>
          <w:bCs/>
          <w:color w:val="3D7BAE"/>
          <w:sz w:val="20"/>
          <w:szCs w:val="20"/>
        </w:rPr>
        <w:t>Zgodność z celam</w:t>
      </w:r>
      <w:r>
        <w:rPr>
          <w:rFonts w:ascii="Verdana" w:eastAsia="Verdana" w:hAnsi="Verdana" w:cs="Verdana"/>
          <w:b/>
          <w:bCs/>
          <w:color w:val="3D7BAE"/>
          <w:sz w:val="20"/>
          <w:szCs w:val="20"/>
        </w:rPr>
        <w:t>i Komisji Europejskiej</w:t>
      </w:r>
    </w:p>
    <w:p w14:paraId="0000000A" w14:textId="77777777" w:rsidR="00C76CA9" w:rsidRDefault="00F4290D">
      <w:pPr>
        <w:shd w:val="clear" w:color="auto" w:fill="FFFFFF"/>
        <w:spacing w:after="24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>Należy pamiętać, że instrument terytorialny LEADER‑RLKS, poprzez swoje oddolne i partycypacyjne podejście, w pełni realizuje cele Komisji Europejskiej, w szczególności:</w:t>
      </w:r>
    </w:p>
    <w:p w14:paraId="0000000B" w14:textId="77777777" w:rsidR="00C76CA9" w:rsidRDefault="00F4290D">
      <w:pPr>
        <w:numPr>
          <w:ilvl w:val="0"/>
          <w:numId w:val="1"/>
        </w:numPr>
      </w:pPr>
      <w:r>
        <w:rPr>
          <w:rFonts w:ascii="Roboto" w:eastAsia="Roboto" w:hAnsi="Roboto" w:cs="Roboto"/>
          <w:color w:val="212529"/>
          <w:sz w:val="24"/>
          <w:szCs w:val="24"/>
        </w:rPr>
        <w:t>wsparcie dla: ludzi, silnego społeczeństwa i europejskiego model</w:t>
      </w:r>
      <w:r>
        <w:rPr>
          <w:rFonts w:ascii="Roboto" w:eastAsia="Roboto" w:hAnsi="Roboto" w:cs="Roboto"/>
          <w:color w:val="212529"/>
          <w:sz w:val="24"/>
          <w:szCs w:val="24"/>
        </w:rPr>
        <w:t>u społecznego,</w:t>
      </w:r>
    </w:p>
    <w:p w14:paraId="0000000C" w14:textId="77777777" w:rsidR="00C76CA9" w:rsidRDefault="00F4290D">
      <w:pPr>
        <w:numPr>
          <w:ilvl w:val="0"/>
          <w:numId w:val="1"/>
        </w:numPr>
        <w:spacing w:after="240"/>
      </w:pPr>
      <w:r>
        <w:rPr>
          <w:rFonts w:ascii="Roboto" w:eastAsia="Roboto" w:hAnsi="Roboto" w:cs="Roboto"/>
          <w:color w:val="212529"/>
          <w:sz w:val="24"/>
          <w:szCs w:val="24"/>
        </w:rPr>
        <w:t>ochronę demokracji i wartości europejskich.</w:t>
      </w:r>
    </w:p>
    <w:p w14:paraId="0000000D" w14:textId="77777777" w:rsidR="00C76CA9" w:rsidRDefault="00F4290D">
      <w:pPr>
        <w:pStyle w:val="Nagwek3"/>
        <w:keepNext w:val="0"/>
        <w:keepLines w:val="0"/>
        <w:pBdr>
          <w:top w:val="none" w:sz="0" w:space="7" w:color="auto"/>
        </w:pBdr>
        <w:shd w:val="clear" w:color="auto" w:fill="FFFFFF"/>
        <w:spacing w:before="280" w:after="140" w:line="288" w:lineRule="auto"/>
        <w:rPr>
          <w:rFonts w:ascii="Verdana" w:eastAsia="Verdana" w:hAnsi="Verdana" w:cs="Verdana"/>
          <w:b/>
          <w:bCs/>
          <w:color w:val="3D7BAE"/>
          <w:sz w:val="20"/>
          <w:szCs w:val="20"/>
        </w:rPr>
      </w:pPr>
      <w:bookmarkStart w:id="3" w:name="_7n0nklvz91j" w:colFirst="0" w:colLast="0"/>
      <w:bookmarkEnd w:id="3"/>
      <w:r>
        <w:rPr>
          <w:rFonts w:ascii="Verdana" w:eastAsia="Verdana" w:hAnsi="Verdana" w:cs="Verdana"/>
          <w:b/>
          <w:bCs/>
          <w:color w:val="3D7BAE"/>
          <w:sz w:val="20"/>
          <w:szCs w:val="20"/>
        </w:rPr>
        <w:t>Wartość dodana postulowanego rozwiązania</w:t>
      </w:r>
    </w:p>
    <w:p w14:paraId="0000000E" w14:textId="77777777" w:rsidR="00C76CA9" w:rsidRDefault="00F4290D">
      <w:pPr>
        <w:shd w:val="clear" w:color="auto" w:fill="FFFFFF"/>
        <w:spacing w:after="24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lastRenderedPageBreak/>
        <w:t>Takie podejście zapewni:</w:t>
      </w:r>
    </w:p>
    <w:p w14:paraId="0000000F" w14:textId="77777777" w:rsidR="00C76CA9" w:rsidRDefault="00F4290D">
      <w:pPr>
        <w:numPr>
          <w:ilvl w:val="0"/>
          <w:numId w:val="2"/>
        </w:numPr>
      </w:pPr>
      <w:r>
        <w:rPr>
          <w:rFonts w:ascii="Roboto" w:eastAsia="Roboto" w:hAnsi="Roboto" w:cs="Roboto"/>
          <w:color w:val="212529"/>
          <w:sz w:val="24"/>
          <w:szCs w:val="24"/>
        </w:rPr>
        <w:t>spójność strategii realizowanych działań z polityką rozwoju obszarów wiejskich oraz polityką spójności,</w:t>
      </w:r>
    </w:p>
    <w:p w14:paraId="00000010" w14:textId="77777777" w:rsidR="00C76CA9" w:rsidRDefault="00F4290D">
      <w:pPr>
        <w:numPr>
          <w:ilvl w:val="0"/>
          <w:numId w:val="2"/>
        </w:numPr>
      </w:pPr>
      <w:r>
        <w:rPr>
          <w:rFonts w:ascii="Roboto" w:eastAsia="Roboto" w:hAnsi="Roboto" w:cs="Roboto"/>
          <w:color w:val="212529"/>
          <w:sz w:val="24"/>
          <w:szCs w:val="24"/>
        </w:rPr>
        <w:t>efektywną koordynację dział</w:t>
      </w:r>
      <w:r>
        <w:rPr>
          <w:rFonts w:ascii="Roboto" w:eastAsia="Roboto" w:hAnsi="Roboto" w:cs="Roboto"/>
          <w:color w:val="212529"/>
          <w:sz w:val="24"/>
          <w:szCs w:val="24"/>
        </w:rPr>
        <w:t>ań sektora rolnego i polityk terytorialnych,</w:t>
      </w:r>
    </w:p>
    <w:p w14:paraId="00000011" w14:textId="77777777" w:rsidR="00C76CA9" w:rsidRDefault="00F4290D">
      <w:pPr>
        <w:numPr>
          <w:ilvl w:val="0"/>
          <w:numId w:val="2"/>
        </w:numPr>
        <w:spacing w:after="240"/>
      </w:pPr>
      <w:r>
        <w:rPr>
          <w:rFonts w:ascii="Roboto" w:eastAsia="Roboto" w:hAnsi="Roboto" w:cs="Roboto"/>
          <w:color w:val="212529"/>
          <w:sz w:val="24"/>
          <w:szCs w:val="24"/>
        </w:rPr>
        <w:t xml:space="preserve">realne wykorzystanie instrumentu LEADER‑RLKS jako podstawowego narzędzia wdrażania </w:t>
      </w:r>
      <w:proofErr w:type="spellStart"/>
      <w:r>
        <w:rPr>
          <w:rFonts w:ascii="Roboto" w:eastAsia="Roboto" w:hAnsi="Roboto" w:cs="Roboto"/>
          <w:color w:val="212529"/>
          <w:sz w:val="24"/>
          <w:szCs w:val="24"/>
        </w:rPr>
        <w:t>rural</w:t>
      </w:r>
      <w:proofErr w:type="spellEnd"/>
      <w:r>
        <w:rPr>
          <w:rFonts w:ascii="Roboto" w:eastAsia="Roboto" w:hAnsi="Roboto" w:cs="Roboto"/>
          <w:color w:val="212529"/>
          <w:sz w:val="24"/>
          <w:szCs w:val="24"/>
        </w:rPr>
        <w:t xml:space="preserve"> target.</w:t>
      </w:r>
    </w:p>
    <w:p w14:paraId="00000012" w14:textId="77777777" w:rsidR="00C76CA9" w:rsidRDefault="00F4290D">
      <w:pPr>
        <w:shd w:val="clear" w:color="auto" w:fill="FFFFFF"/>
        <w:spacing w:after="24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 xml:space="preserve">Brak wyraźnie zdefiniowanego i obowiązkowego </w:t>
      </w:r>
      <w:proofErr w:type="spellStart"/>
      <w:r>
        <w:rPr>
          <w:rFonts w:ascii="Roboto" w:eastAsia="Roboto" w:hAnsi="Roboto" w:cs="Roboto"/>
          <w:i/>
          <w:iCs/>
          <w:color w:val="212529"/>
          <w:sz w:val="24"/>
          <w:szCs w:val="24"/>
        </w:rPr>
        <w:t>rural</w:t>
      </w:r>
      <w:proofErr w:type="spellEnd"/>
      <w:r>
        <w:rPr>
          <w:rFonts w:ascii="Roboto" w:eastAsia="Roboto" w:hAnsi="Roboto" w:cs="Roboto"/>
          <w:i/>
          <w:iCs/>
          <w:color w:val="212529"/>
          <w:sz w:val="24"/>
          <w:szCs w:val="24"/>
        </w:rPr>
        <w:t xml:space="preserve"> target</w:t>
      </w:r>
      <w:r>
        <w:rPr>
          <w:rFonts w:ascii="Roboto" w:eastAsia="Roboto" w:hAnsi="Roboto" w:cs="Roboto"/>
          <w:color w:val="212529"/>
          <w:sz w:val="24"/>
          <w:szCs w:val="24"/>
        </w:rPr>
        <w:t xml:space="preserve"> w nowej architekturze finansowej UE grozi dalszą margina</w:t>
      </w:r>
      <w:r>
        <w:rPr>
          <w:rFonts w:ascii="Roboto" w:eastAsia="Roboto" w:hAnsi="Roboto" w:cs="Roboto"/>
          <w:color w:val="212529"/>
          <w:sz w:val="24"/>
          <w:szCs w:val="24"/>
        </w:rPr>
        <w:t>lizacją obszarów wiejskich oraz osłabieniem zdolności Unii do realizacji jej celów spójności i odporności terytorialnej.</w:t>
      </w:r>
    </w:p>
    <w:p w14:paraId="00000013" w14:textId="77777777" w:rsidR="00C76CA9" w:rsidRDefault="00F4290D">
      <w:pPr>
        <w:shd w:val="clear" w:color="auto" w:fill="FFFFFF"/>
        <w:spacing w:after="24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>W związku z tym apelujemy do Komisji Europejskiej oraz Rządu Rzeczypospolitej Polskiej o zapewnienie jasnych, mierzalnych i egzekwowaln</w:t>
      </w:r>
      <w:r>
        <w:rPr>
          <w:rFonts w:ascii="Roboto" w:eastAsia="Roboto" w:hAnsi="Roboto" w:cs="Roboto"/>
          <w:color w:val="212529"/>
          <w:sz w:val="24"/>
          <w:szCs w:val="24"/>
        </w:rPr>
        <w:t>ych gwarancji finansowych dla obszarów wiejskich w WRF 2028–2034.</w:t>
      </w:r>
    </w:p>
    <w:p w14:paraId="00000014" w14:textId="77777777" w:rsidR="00C76CA9" w:rsidRDefault="00F4290D">
      <w:pPr>
        <w:shd w:val="clear" w:color="auto" w:fill="FFFFFF"/>
        <w:spacing w:after="240"/>
        <w:rPr>
          <w:rFonts w:ascii="Roboto" w:eastAsia="Roboto" w:hAnsi="Roboto" w:cs="Roboto"/>
          <w:color w:val="212529"/>
          <w:sz w:val="24"/>
          <w:szCs w:val="24"/>
        </w:rPr>
      </w:pPr>
      <w:r>
        <w:rPr>
          <w:rFonts w:ascii="Roboto" w:eastAsia="Roboto" w:hAnsi="Roboto" w:cs="Roboto"/>
          <w:color w:val="212529"/>
          <w:sz w:val="24"/>
          <w:szCs w:val="24"/>
        </w:rPr>
        <w:t xml:space="preserve">Silne wspólnoty wiejskie są fundamentem spójnej, demokratycznej i odpornej Europy. Pełny tekst stanowiska na stronie </w:t>
      </w:r>
      <w:hyperlink r:id="rId5">
        <w:r>
          <w:rPr>
            <w:rFonts w:ascii="Roboto" w:eastAsia="Roboto" w:hAnsi="Roboto" w:cs="Roboto"/>
            <w:color w:val="0D6EFD"/>
            <w:sz w:val="24"/>
            <w:szCs w:val="24"/>
            <w:u w:val="single"/>
          </w:rPr>
          <w:t>Polskiej Sieci LGD</w:t>
        </w:r>
      </w:hyperlink>
      <w:r>
        <w:rPr>
          <w:rFonts w:ascii="Roboto" w:eastAsia="Roboto" w:hAnsi="Roboto" w:cs="Roboto"/>
          <w:color w:val="212529"/>
          <w:sz w:val="24"/>
          <w:szCs w:val="24"/>
        </w:rPr>
        <w:t>.</w:t>
      </w:r>
    </w:p>
    <w:p w14:paraId="00000015" w14:textId="77777777" w:rsidR="00C76CA9" w:rsidRDefault="00C76CA9">
      <w:pPr>
        <w:shd w:val="clear" w:color="auto" w:fill="FFFFFF"/>
        <w:spacing w:after="240"/>
      </w:pPr>
    </w:p>
    <w:sectPr w:rsidR="00C76CA9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charset w:val="00"/>
    <w:family w:val="auto"/>
    <w:pitch w:val="default"/>
    <w:embedRegular r:id="rId1" w:fontKey="{3ED0077F-5F70-4E5A-88DD-67C3A57109A4}"/>
    <w:embedBold r:id="rId2" w:fontKey="{034A9418-071D-497E-B629-635BB379A0A2}"/>
    <w:embedItalic r:id="rId3" w:fontKey="{3CAA784A-E224-4B1D-ABC1-C6F74800F516}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 r:id="rId4" w:fontKey="{EF30F73B-83B2-4473-9508-E5D735B630B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BCC19D9-E8CE-4E13-8685-BBE1D77B11B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A2DCC6F7-B016-4364-AB26-2282BA8510D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6585C"/>
    <w:multiLevelType w:val="multilevel"/>
    <w:tmpl w:val="349CC8B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12529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6A741B"/>
    <w:multiLevelType w:val="multilevel"/>
    <w:tmpl w:val="FD24DF0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12529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B421091"/>
    <w:multiLevelType w:val="multilevel"/>
    <w:tmpl w:val="9A8C721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12529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CA9"/>
    <w:rsid w:val="00C76CA9"/>
    <w:rsid w:val="00F4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388A82-A55A-416E-B8AD-67EC84E64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pslgd.pl/akutalnosci/2026/wzmocniony-rural-target-w-planie-partnerstwa-2028-2034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Tatiana</cp:lastModifiedBy>
  <cp:revision>2</cp:revision>
  <dcterms:created xsi:type="dcterms:W3CDTF">2026-04-13T05:50:00Z</dcterms:created>
  <dcterms:modified xsi:type="dcterms:W3CDTF">2026-04-13T05:50:00Z</dcterms:modified>
</cp:coreProperties>
</file>