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5C85" w14:textId="77777777" w:rsidR="002070A9" w:rsidRDefault="002070A9">
      <w:pPr>
        <w:spacing w:line="276" w:lineRule="auto"/>
        <w:jc w:val="center"/>
        <w:rPr>
          <w:rFonts w:ascii="Arial" w:eastAsia="Arial" w:hAnsi="Arial" w:cs="Arial"/>
          <w:b/>
          <w:sz w:val="44"/>
          <w:szCs w:val="44"/>
        </w:rPr>
      </w:pPr>
      <w:bookmarkStart w:id="0" w:name="_GoBack"/>
      <w:bookmarkEnd w:id="0"/>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0867FD"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0867FD">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62638205" w14:textId="6FCC1A33" w:rsidR="00C41B5F" w:rsidRDefault="005964F5">
      <w:pPr>
        <w:spacing w:before="240"/>
        <w:jc w:val="center"/>
        <w:rPr>
          <w:b/>
          <w:color w:val="2E74B5"/>
          <w:sz w:val="40"/>
          <w:szCs w:val="40"/>
        </w:rPr>
      </w:pPr>
      <w:r>
        <w:rPr>
          <w:b/>
          <w:color w:val="2E74B5"/>
          <w:sz w:val="40"/>
          <w:szCs w:val="40"/>
        </w:rPr>
        <w:t>STOWARZYSZENIE „DOLINA NOTECI”</w:t>
      </w: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343CE217" w:rsidR="002070A9" w:rsidRDefault="005964F5">
      <w:pPr>
        <w:pBdr>
          <w:top w:val="nil"/>
          <w:left w:val="nil"/>
          <w:bottom w:val="nil"/>
          <w:right w:val="nil"/>
          <w:between w:val="nil"/>
        </w:pBdr>
        <w:spacing w:after="120"/>
        <w:jc w:val="center"/>
        <w:rPr>
          <w:color w:val="2E74B5"/>
          <w:sz w:val="32"/>
          <w:szCs w:val="32"/>
        </w:rPr>
      </w:pPr>
      <w:r w:rsidRPr="000867FD">
        <w:rPr>
          <w:color w:val="2E74B5"/>
          <w:sz w:val="32"/>
          <w:szCs w:val="32"/>
        </w:rPr>
        <w:t>Chodzież</w:t>
      </w:r>
      <w:r w:rsidR="00924E40" w:rsidRPr="000867FD">
        <w:rPr>
          <w:color w:val="2E74B5"/>
          <w:sz w:val="32"/>
          <w:szCs w:val="32"/>
        </w:rPr>
        <w:t xml:space="preserve">, </w:t>
      </w:r>
      <w:r w:rsidR="0026453B">
        <w:rPr>
          <w:color w:val="2E74B5"/>
          <w:sz w:val="32"/>
          <w:szCs w:val="32"/>
        </w:rPr>
        <w:t>październik</w:t>
      </w:r>
      <w:r w:rsidR="00924E40" w:rsidRPr="000867FD">
        <w:rPr>
          <w:color w:val="2E74B5"/>
          <w:sz w:val="32"/>
          <w:szCs w:val="32"/>
        </w:rPr>
        <w:t xml:space="preserve"> 2024 roku</w:t>
      </w:r>
    </w:p>
    <w:p w14:paraId="0416178F" w14:textId="77777777" w:rsidR="005964F5" w:rsidRDefault="005964F5">
      <w:pPr>
        <w:pBdr>
          <w:top w:val="nil"/>
          <w:left w:val="nil"/>
          <w:bottom w:val="nil"/>
          <w:right w:val="nil"/>
          <w:between w:val="nil"/>
        </w:pBdr>
        <w:spacing w:after="120"/>
        <w:jc w:val="center"/>
        <w:rPr>
          <w:color w:val="2E74B5"/>
          <w:sz w:val="32"/>
          <w:szCs w:val="32"/>
        </w:rPr>
      </w:pP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0F53BDB7"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26453B">
              <w:rPr>
                <w:webHidden/>
              </w:rPr>
              <w:t>3</w:t>
            </w:r>
            <w:r>
              <w:rPr>
                <w:webHidden/>
              </w:rPr>
              <w:fldChar w:fldCharType="end"/>
            </w:r>
          </w:hyperlink>
        </w:p>
        <w:p w14:paraId="68ECE633" w14:textId="6399DC93" w:rsidR="009975E6" w:rsidRDefault="00D45897">
          <w:pPr>
            <w:pStyle w:val="Spistreci1"/>
            <w:rPr>
              <w:rFonts w:asciiTheme="minorHAnsi" w:eastAsiaTheme="minorEastAsia" w:hAnsiTheme="minorHAnsi" w:cstheme="minorBidi"/>
              <w:b w:val="0"/>
              <w:sz w:val="22"/>
              <w:szCs w:val="22"/>
            </w:rPr>
          </w:pPr>
          <w:hyperlink w:anchor="_Toc176941415" w:history="1">
            <w:r w:rsidR="009975E6" w:rsidRPr="00A47314">
              <w:rPr>
                <w:rStyle w:val="Hipercze"/>
                <w:rFonts w:cs="Calibri"/>
              </w:rPr>
              <w:t>II.</w:t>
            </w:r>
            <w:r w:rsidR="009975E6">
              <w:rPr>
                <w:rFonts w:asciiTheme="minorHAnsi" w:eastAsiaTheme="minorEastAsia" w:hAnsiTheme="minorHAnsi" w:cstheme="minorBidi"/>
                <w:b w:val="0"/>
                <w:sz w:val="22"/>
                <w:szCs w:val="22"/>
              </w:rPr>
              <w:tab/>
            </w:r>
            <w:r w:rsidR="009975E6" w:rsidRPr="00A47314">
              <w:rPr>
                <w:rStyle w:val="Hipercze"/>
                <w:rFonts w:cs="Calibri"/>
              </w:rPr>
              <w:t>Podstawowe informacje o naborze</w:t>
            </w:r>
            <w:r w:rsidR="009975E6">
              <w:rPr>
                <w:webHidden/>
              </w:rPr>
              <w:tab/>
            </w:r>
            <w:r w:rsidR="009975E6">
              <w:rPr>
                <w:webHidden/>
              </w:rPr>
              <w:fldChar w:fldCharType="begin"/>
            </w:r>
            <w:r w:rsidR="009975E6">
              <w:rPr>
                <w:webHidden/>
              </w:rPr>
              <w:instrText xml:space="preserve"> PAGEREF _Toc176941415 \h </w:instrText>
            </w:r>
            <w:r w:rsidR="009975E6">
              <w:rPr>
                <w:webHidden/>
              </w:rPr>
            </w:r>
            <w:r w:rsidR="009975E6">
              <w:rPr>
                <w:webHidden/>
              </w:rPr>
              <w:fldChar w:fldCharType="separate"/>
            </w:r>
            <w:r w:rsidR="0026453B">
              <w:rPr>
                <w:webHidden/>
              </w:rPr>
              <w:t>12</w:t>
            </w:r>
            <w:r w:rsidR="009975E6">
              <w:rPr>
                <w:webHidden/>
              </w:rPr>
              <w:fldChar w:fldCharType="end"/>
            </w:r>
          </w:hyperlink>
        </w:p>
        <w:p w14:paraId="6348186E" w14:textId="2D4D0B27" w:rsidR="009975E6" w:rsidRDefault="00D45897">
          <w:pPr>
            <w:pStyle w:val="Spistreci2"/>
            <w:rPr>
              <w:rFonts w:asciiTheme="minorHAnsi" w:hAnsiTheme="minorHAnsi" w:cstheme="minorBidi"/>
              <w:noProof/>
            </w:rPr>
          </w:pPr>
          <w:hyperlink w:anchor="_Toc176941416"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Instytucja organizująca nabór i dane kontaktowe</w:t>
            </w:r>
            <w:r w:rsidR="009975E6">
              <w:rPr>
                <w:noProof/>
                <w:webHidden/>
              </w:rPr>
              <w:tab/>
            </w:r>
            <w:r w:rsidR="009975E6">
              <w:rPr>
                <w:noProof/>
                <w:webHidden/>
              </w:rPr>
              <w:fldChar w:fldCharType="begin"/>
            </w:r>
            <w:r w:rsidR="009975E6">
              <w:rPr>
                <w:noProof/>
                <w:webHidden/>
              </w:rPr>
              <w:instrText xml:space="preserve"> PAGEREF _Toc176941416 \h </w:instrText>
            </w:r>
            <w:r w:rsidR="009975E6">
              <w:rPr>
                <w:noProof/>
                <w:webHidden/>
              </w:rPr>
            </w:r>
            <w:r w:rsidR="009975E6">
              <w:rPr>
                <w:noProof/>
                <w:webHidden/>
              </w:rPr>
              <w:fldChar w:fldCharType="separate"/>
            </w:r>
            <w:r w:rsidR="0026453B">
              <w:rPr>
                <w:noProof/>
                <w:webHidden/>
              </w:rPr>
              <w:t>12</w:t>
            </w:r>
            <w:r w:rsidR="009975E6">
              <w:rPr>
                <w:noProof/>
                <w:webHidden/>
              </w:rPr>
              <w:fldChar w:fldCharType="end"/>
            </w:r>
          </w:hyperlink>
        </w:p>
        <w:p w14:paraId="5FDE0EFF" w14:textId="4B54F96E" w:rsidR="009975E6" w:rsidRDefault="00D45897">
          <w:pPr>
            <w:pStyle w:val="Spistreci2"/>
            <w:rPr>
              <w:rFonts w:asciiTheme="minorHAnsi" w:hAnsiTheme="minorHAnsi" w:cstheme="minorBidi"/>
              <w:noProof/>
            </w:rPr>
          </w:pPr>
          <w:hyperlink w:anchor="_Toc176941417"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Typy projektów przewidzianych do wsparcia</w:t>
            </w:r>
            <w:r w:rsidR="009975E6">
              <w:rPr>
                <w:noProof/>
                <w:webHidden/>
              </w:rPr>
              <w:tab/>
            </w:r>
            <w:r w:rsidR="009975E6">
              <w:rPr>
                <w:noProof/>
                <w:webHidden/>
              </w:rPr>
              <w:fldChar w:fldCharType="begin"/>
            </w:r>
            <w:r w:rsidR="009975E6">
              <w:rPr>
                <w:noProof/>
                <w:webHidden/>
              </w:rPr>
              <w:instrText xml:space="preserve"> PAGEREF _Toc176941417 \h </w:instrText>
            </w:r>
            <w:r w:rsidR="009975E6">
              <w:rPr>
                <w:noProof/>
                <w:webHidden/>
              </w:rPr>
            </w:r>
            <w:r w:rsidR="009975E6">
              <w:rPr>
                <w:noProof/>
                <w:webHidden/>
              </w:rPr>
              <w:fldChar w:fldCharType="separate"/>
            </w:r>
            <w:r w:rsidR="0026453B">
              <w:rPr>
                <w:noProof/>
                <w:webHidden/>
              </w:rPr>
              <w:t>12</w:t>
            </w:r>
            <w:r w:rsidR="009975E6">
              <w:rPr>
                <w:noProof/>
                <w:webHidden/>
              </w:rPr>
              <w:fldChar w:fldCharType="end"/>
            </w:r>
          </w:hyperlink>
        </w:p>
        <w:p w14:paraId="64F24113" w14:textId="60D6AB3B" w:rsidR="009975E6" w:rsidRDefault="00D45897">
          <w:pPr>
            <w:pStyle w:val="Spistreci2"/>
            <w:rPr>
              <w:rFonts w:asciiTheme="minorHAnsi" w:hAnsiTheme="minorHAnsi" w:cstheme="minorBidi"/>
              <w:noProof/>
            </w:rPr>
          </w:pPr>
          <w:hyperlink w:anchor="_Toc176941418"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Podmioty uprawnione do ubiegania się o wsparcie</w:t>
            </w:r>
            <w:r w:rsidR="009975E6">
              <w:rPr>
                <w:noProof/>
                <w:webHidden/>
              </w:rPr>
              <w:tab/>
            </w:r>
            <w:r w:rsidR="009975E6">
              <w:rPr>
                <w:noProof/>
                <w:webHidden/>
              </w:rPr>
              <w:fldChar w:fldCharType="begin"/>
            </w:r>
            <w:r w:rsidR="009975E6">
              <w:rPr>
                <w:noProof/>
                <w:webHidden/>
              </w:rPr>
              <w:instrText xml:space="preserve"> PAGEREF _Toc176941418 \h </w:instrText>
            </w:r>
            <w:r w:rsidR="009975E6">
              <w:rPr>
                <w:noProof/>
                <w:webHidden/>
              </w:rPr>
            </w:r>
            <w:r w:rsidR="009975E6">
              <w:rPr>
                <w:noProof/>
                <w:webHidden/>
              </w:rPr>
              <w:fldChar w:fldCharType="separate"/>
            </w:r>
            <w:r w:rsidR="0026453B">
              <w:rPr>
                <w:noProof/>
                <w:webHidden/>
              </w:rPr>
              <w:t>16</w:t>
            </w:r>
            <w:r w:rsidR="009975E6">
              <w:rPr>
                <w:noProof/>
                <w:webHidden/>
              </w:rPr>
              <w:fldChar w:fldCharType="end"/>
            </w:r>
          </w:hyperlink>
        </w:p>
        <w:p w14:paraId="3CB75A15" w14:textId="3B779C88" w:rsidR="009975E6" w:rsidRDefault="00D45897">
          <w:pPr>
            <w:pStyle w:val="Spistreci2"/>
            <w:rPr>
              <w:rFonts w:asciiTheme="minorHAnsi" w:hAnsiTheme="minorHAnsi" w:cstheme="minorBidi"/>
              <w:noProof/>
            </w:rPr>
          </w:pPr>
          <w:hyperlink w:anchor="_Toc176941419"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Okres trwania naboru</w:t>
            </w:r>
            <w:r w:rsidR="009975E6">
              <w:rPr>
                <w:noProof/>
                <w:webHidden/>
              </w:rPr>
              <w:tab/>
            </w:r>
            <w:r w:rsidR="009975E6">
              <w:rPr>
                <w:noProof/>
                <w:webHidden/>
              </w:rPr>
              <w:fldChar w:fldCharType="begin"/>
            </w:r>
            <w:r w:rsidR="009975E6">
              <w:rPr>
                <w:noProof/>
                <w:webHidden/>
              </w:rPr>
              <w:instrText xml:space="preserve"> PAGEREF _Toc176941419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6107ABD9" w14:textId="242938D0" w:rsidR="009975E6" w:rsidRDefault="00D45897">
          <w:pPr>
            <w:pStyle w:val="Spistreci2"/>
            <w:rPr>
              <w:rFonts w:asciiTheme="minorHAnsi" w:hAnsiTheme="minorHAnsi" w:cstheme="minorBidi"/>
              <w:noProof/>
            </w:rPr>
          </w:pPr>
          <w:hyperlink w:anchor="_Toc176941420"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Okres realizacji projektu</w:t>
            </w:r>
            <w:r w:rsidR="009975E6">
              <w:rPr>
                <w:noProof/>
                <w:webHidden/>
              </w:rPr>
              <w:tab/>
            </w:r>
            <w:r w:rsidR="009975E6">
              <w:rPr>
                <w:noProof/>
                <w:webHidden/>
              </w:rPr>
              <w:fldChar w:fldCharType="begin"/>
            </w:r>
            <w:r w:rsidR="009975E6">
              <w:rPr>
                <w:noProof/>
                <w:webHidden/>
              </w:rPr>
              <w:instrText xml:space="preserve"> PAGEREF _Toc176941420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7E5883F6" w14:textId="3B7EB278" w:rsidR="009975E6" w:rsidRDefault="00D45897">
          <w:pPr>
            <w:pStyle w:val="Spistreci2"/>
            <w:rPr>
              <w:rFonts w:asciiTheme="minorHAnsi" w:hAnsiTheme="minorHAnsi" w:cstheme="minorBidi"/>
              <w:noProof/>
            </w:rPr>
          </w:pPr>
          <w:hyperlink w:anchor="_Toc176941421"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Wykluczenia</w:t>
            </w:r>
            <w:r w:rsidR="009975E6">
              <w:rPr>
                <w:noProof/>
                <w:webHidden/>
              </w:rPr>
              <w:tab/>
            </w:r>
            <w:r w:rsidR="009975E6">
              <w:rPr>
                <w:noProof/>
                <w:webHidden/>
              </w:rPr>
              <w:fldChar w:fldCharType="begin"/>
            </w:r>
            <w:r w:rsidR="009975E6">
              <w:rPr>
                <w:noProof/>
                <w:webHidden/>
              </w:rPr>
              <w:instrText xml:space="preserve"> PAGEREF _Toc176941421 \h </w:instrText>
            </w:r>
            <w:r w:rsidR="009975E6">
              <w:rPr>
                <w:noProof/>
                <w:webHidden/>
              </w:rPr>
            </w:r>
            <w:r w:rsidR="009975E6">
              <w:rPr>
                <w:noProof/>
                <w:webHidden/>
              </w:rPr>
              <w:fldChar w:fldCharType="separate"/>
            </w:r>
            <w:r w:rsidR="0026453B">
              <w:rPr>
                <w:noProof/>
                <w:webHidden/>
              </w:rPr>
              <w:t>17</w:t>
            </w:r>
            <w:r w:rsidR="009975E6">
              <w:rPr>
                <w:noProof/>
                <w:webHidden/>
              </w:rPr>
              <w:fldChar w:fldCharType="end"/>
            </w:r>
          </w:hyperlink>
        </w:p>
        <w:p w14:paraId="24CB764B" w14:textId="515DA0A6" w:rsidR="009975E6" w:rsidRDefault="00D45897">
          <w:pPr>
            <w:pStyle w:val="Spistreci2"/>
            <w:rPr>
              <w:rFonts w:asciiTheme="minorHAnsi" w:hAnsiTheme="minorHAnsi" w:cstheme="minorBidi"/>
              <w:noProof/>
            </w:rPr>
          </w:pPr>
          <w:hyperlink w:anchor="_Toc176941422" w:history="1">
            <w:r w:rsidR="009975E6" w:rsidRPr="00A47314">
              <w:rPr>
                <w:rStyle w:val="Hipercze"/>
                <w:rFonts w:eastAsia="Calibri" w:cs="Calibri"/>
                <w:noProof/>
              </w:rPr>
              <w:t>G.</w:t>
            </w:r>
            <w:r w:rsidR="009975E6">
              <w:rPr>
                <w:rFonts w:asciiTheme="minorHAnsi" w:hAnsiTheme="minorHAnsi" w:cstheme="minorBidi"/>
                <w:noProof/>
              </w:rPr>
              <w:tab/>
            </w:r>
            <w:r w:rsidR="009975E6" w:rsidRPr="00A47314">
              <w:rPr>
                <w:rStyle w:val="Hipercze"/>
                <w:rFonts w:eastAsia="Calibri" w:cs="Calibri"/>
                <w:noProof/>
              </w:rPr>
              <w:t>Wartości oraz intensywność wsparcia</w:t>
            </w:r>
            <w:r w:rsidR="009975E6">
              <w:rPr>
                <w:noProof/>
                <w:webHidden/>
              </w:rPr>
              <w:tab/>
            </w:r>
            <w:r w:rsidR="009975E6">
              <w:rPr>
                <w:noProof/>
                <w:webHidden/>
              </w:rPr>
              <w:fldChar w:fldCharType="begin"/>
            </w:r>
            <w:r w:rsidR="009975E6">
              <w:rPr>
                <w:noProof/>
                <w:webHidden/>
              </w:rPr>
              <w:instrText xml:space="preserve"> PAGEREF _Toc176941422 \h </w:instrText>
            </w:r>
            <w:r w:rsidR="009975E6">
              <w:rPr>
                <w:noProof/>
                <w:webHidden/>
              </w:rPr>
            </w:r>
            <w:r w:rsidR="009975E6">
              <w:rPr>
                <w:noProof/>
                <w:webHidden/>
              </w:rPr>
              <w:fldChar w:fldCharType="separate"/>
            </w:r>
            <w:r w:rsidR="0026453B">
              <w:rPr>
                <w:noProof/>
                <w:webHidden/>
              </w:rPr>
              <w:t>18</w:t>
            </w:r>
            <w:r w:rsidR="009975E6">
              <w:rPr>
                <w:noProof/>
                <w:webHidden/>
              </w:rPr>
              <w:fldChar w:fldCharType="end"/>
            </w:r>
          </w:hyperlink>
        </w:p>
        <w:p w14:paraId="2C85F3E3" w14:textId="4E802D03" w:rsidR="009975E6" w:rsidRDefault="00D45897">
          <w:pPr>
            <w:pStyle w:val="Spistreci2"/>
            <w:rPr>
              <w:rFonts w:asciiTheme="minorHAnsi" w:hAnsiTheme="minorHAnsi" w:cstheme="minorBidi"/>
              <w:noProof/>
            </w:rPr>
          </w:pPr>
          <w:hyperlink w:anchor="_Toc176941423" w:history="1">
            <w:r w:rsidR="009975E6" w:rsidRPr="00A47314">
              <w:rPr>
                <w:rStyle w:val="Hipercze"/>
                <w:rFonts w:eastAsia="Calibri" w:cs="Calibri"/>
                <w:noProof/>
              </w:rPr>
              <w:t>G.1.</w:t>
            </w:r>
            <w:r w:rsidR="009975E6">
              <w:rPr>
                <w:rFonts w:asciiTheme="minorHAnsi" w:hAnsiTheme="minorHAnsi" w:cstheme="minorBidi"/>
                <w:noProof/>
              </w:rPr>
              <w:tab/>
            </w:r>
            <w:r w:rsidR="009975E6" w:rsidRPr="00A47314">
              <w:rPr>
                <w:rStyle w:val="Hipercze"/>
                <w:rFonts w:eastAsia="Calibri" w:cs="Calibri"/>
                <w:noProof/>
              </w:rPr>
              <w:t>Infrastruktura pomocnicza</w:t>
            </w:r>
            <w:r w:rsidR="009975E6">
              <w:rPr>
                <w:noProof/>
                <w:webHidden/>
              </w:rPr>
              <w:tab/>
            </w:r>
            <w:r w:rsidR="009975E6">
              <w:rPr>
                <w:noProof/>
                <w:webHidden/>
              </w:rPr>
              <w:fldChar w:fldCharType="begin"/>
            </w:r>
            <w:r w:rsidR="009975E6">
              <w:rPr>
                <w:noProof/>
                <w:webHidden/>
              </w:rPr>
              <w:instrText xml:space="preserve"> PAGEREF _Toc176941423 \h </w:instrText>
            </w:r>
            <w:r w:rsidR="009975E6">
              <w:rPr>
                <w:noProof/>
                <w:webHidden/>
              </w:rPr>
            </w:r>
            <w:r w:rsidR="009975E6">
              <w:rPr>
                <w:noProof/>
                <w:webHidden/>
              </w:rPr>
              <w:fldChar w:fldCharType="separate"/>
            </w:r>
            <w:r w:rsidR="0026453B">
              <w:rPr>
                <w:noProof/>
                <w:webHidden/>
              </w:rPr>
              <w:t>20</w:t>
            </w:r>
            <w:r w:rsidR="009975E6">
              <w:rPr>
                <w:noProof/>
                <w:webHidden/>
              </w:rPr>
              <w:fldChar w:fldCharType="end"/>
            </w:r>
          </w:hyperlink>
        </w:p>
        <w:p w14:paraId="29EA20BC" w14:textId="257FD9DE" w:rsidR="009975E6" w:rsidRDefault="00D45897">
          <w:pPr>
            <w:pStyle w:val="Spistreci2"/>
            <w:rPr>
              <w:rFonts w:asciiTheme="minorHAnsi" w:hAnsiTheme="minorHAnsi" w:cstheme="minorBidi"/>
              <w:noProof/>
            </w:rPr>
          </w:pPr>
          <w:hyperlink w:anchor="_Toc176941424" w:history="1">
            <w:r w:rsidR="009975E6" w:rsidRPr="00A47314">
              <w:rPr>
                <w:rStyle w:val="Hipercze"/>
                <w:rFonts w:eastAsia="Calibri" w:cs="Calibri"/>
                <w:noProof/>
              </w:rPr>
              <w:t>H.</w:t>
            </w:r>
            <w:r w:rsidR="009975E6">
              <w:rPr>
                <w:rFonts w:asciiTheme="minorHAnsi" w:hAnsiTheme="minorHAnsi" w:cstheme="minorBidi"/>
                <w:noProof/>
              </w:rPr>
              <w:tab/>
            </w:r>
            <w:r w:rsidR="009975E6" w:rsidRPr="00A47314">
              <w:rPr>
                <w:rStyle w:val="Hipercze"/>
                <w:rFonts w:eastAsia="Calibri" w:cs="Calibri"/>
                <w:noProof/>
              </w:rPr>
              <w:t>Ogólne zasady dotyczące naboru oraz realizacji projektów</w:t>
            </w:r>
            <w:r w:rsidR="009975E6">
              <w:rPr>
                <w:noProof/>
                <w:webHidden/>
              </w:rPr>
              <w:tab/>
            </w:r>
            <w:r w:rsidR="009975E6">
              <w:rPr>
                <w:noProof/>
                <w:webHidden/>
              </w:rPr>
              <w:fldChar w:fldCharType="begin"/>
            </w:r>
            <w:r w:rsidR="009975E6">
              <w:rPr>
                <w:noProof/>
                <w:webHidden/>
              </w:rPr>
              <w:instrText xml:space="preserve"> PAGEREF _Toc176941424 \h </w:instrText>
            </w:r>
            <w:r w:rsidR="009975E6">
              <w:rPr>
                <w:noProof/>
                <w:webHidden/>
              </w:rPr>
            </w:r>
            <w:r w:rsidR="009975E6">
              <w:rPr>
                <w:noProof/>
                <w:webHidden/>
              </w:rPr>
              <w:fldChar w:fldCharType="separate"/>
            </w:r>
            <w:r w:rsidR="0026453B">
              <w:rPr>
                <w:noProof/>
                <w:webHidden/>
              </w:rPr>
              <w:t>21</w:t>
            </w:r>
            <w:r w:rsidR="009975E6">
              <w:rPr>
                <w:noProof/>
                <w:webHidden/>
              </w:rPr>
              <w:fldChar w:fldCharType="end"/>
            </w:r>
          </w:hyperlink>
        </w:p>
        <w:p w14:paraId="15F69AE6" w14:textId="58357197" w:rsidR="009975E6" w:rsidRDefault="00D45897">
          <w:pPr>
            <w:pStyle w:val="Spistreci2"/>
            <w:rPr>
              <w:rFonts w:asciiTheme="minorHAnsi" w:hAnsiTheme="minorHAnsi" w:cstheme="minorBidi"/>
              <w:noProof/>
            </w:rPr>
          </w:pPr>
          <w:hyperlink w:anchor="_Toc176941425" w:history="1">
            <w:r w:rsidR="009975E6" w:rsidRPr="00A47314">
              <w:rPr>
                <w:rStyle w:val="Hipercze"/>
                <w:rFonts w:eastAsia="Calibri" w:cs="Calibri"/>
                <w:noProof/>
              </w:rPr>
              <w:t>I.</w:t>
            </w:r>
            <w:r w:rsidR="009975E6">
              <w:rPr>
                <w:rFonts w:asciiTheme="minorHAnsi" w:hAnsiTheme="minorHAnsi" w:cstheme="minorBidi"/>
                <w:noProof/>
              </w:rPr>
              <w:tab/>
            </w:r>
            <w:r w:rsidR="009975E6" w:rsidRPr="00A47314">
              <w:rPr>
                <w:rStyle w:val="Hipercze"/>
                <w:rFonts w:eastAsia="Calibri" w:cs="Calibri"/>
                <w:noProof/>
              </w:rPr>
              <w:t>Kwalifikowalność wydatków</w:t>
            </w:r>
            <w:r w:rsidR="009975E6">
              <w:rPr>
                <w:noProof/>
                <w:webHidden/>
              </w:rPr>
              <w:tab/>
            </w:r>
            <w:r w:rsidR="009975E6">
              <w:rPr>
                <w:noProof/>
                <w:webHidden/>
              </w:rPr>
              <w:fldChar w:fldCharType="begin"/>
            </w:r>
            <w:r w:rsidR="009975E6">
              <w:rPr>
                <w:noProof/>
                <w:webHidden/>
              </w:rPr>
              <w:instrText xml:space="preserve"> PAGEREF _Toc176941425 \h </w:instrText>
            </w:r>
            <w:r w:rsidR="009975E6">
              <w:rPr>
                <w:noProof/>
                <w:webHidden/>
              </w:rPr>
            </w:r>
            <w:r w:rsidR="009975E6">
              <w:rPr>
                <w:noProof/>
                <w:webHidden/>
              </w:rPr>
              <w:fldChar w:fldCharType="separate"/>
            </w:r>
            <w:r w:rsidR="0026453B">
              <w:rPr>
                <w:noProof/>
                <w:webHidden/>
              </w:rPr>
              <w:t>22</w:t>
            </w:r>
            <w:r w:rsidR="009975E6">
              <w:rPr>
                <w:noProof/>
                <w:webHidden/>
              </w:rPr>
              <w:fldChar w:fldCharType="end"/>
            </w:r>
          </w:hyperlink>
        </w:p>
        <w:p w14:paraId="30A131C9" w14:textId="1C441D7D" w:rsidR="009975E6" w:rsidRDefault="00D45897">
          <w:pPr>
            <w:pStyle w:val="Spistreci2"/>
            <w:rPr>
              <w:rFonts w:asciiTheme="minorHAnsi" w:hAnsiTheme="minorHAnsi" w:cstheme="minorBidi"/>
              <w:noProof/>
            </w:rPr>
          </w:pPr>
          <w:hyperlink w:anchor="_Toc176941426" w:history="1">
            <w:r w:rsidR="009975E6" w:rsidRPr="00A47314">
              <w:rPr>
                <w:rStyle w:val="Hipercze"/>
                <w:rFonts w:eastAsia="Calibri" w:cs="Calibri"/>
                <w:noProof/>
              </w:rPr>
              <w:t>I.1.</w:t>
            </w:r>
            <w:r w:rsidR="009975E6">
              <w:rPr>
                <w:rFonts w:asciiTheme="minorHAnsi" w:hAnsiTheme="minorHAnsi" w:cstheme="minorBidi"/>
                <w:noProof/>
              </w:rPr>
              <w:tab/>
            </w:r>
            <w:r w:rsidR="009975E6" w:rsidRPr="00A47314">
              <w:rPr>
                <w:rStyle w:val="Hipercze"/>
                <w:rFonts w:eastAsia="Calibri" w:cs="Calibri"/>
                <w:noProof/>
              </w:rPr>
              <w:t>Uproszczone metody rozliczania wydatków</w:t>
            </w:r>
            <w:r w:rsidR="009975E6">
              <w:rPr>
                <w:noProof/>
                <w:webHidden/>
              </w:rPr>
              <w:tab/>
            </w:r>
            <w:r w:rsidR="009975E6">
              <w:rPr>
                <w:noProof/>
                <w:webHidden/>
              </w:rPr>
              <w:fldChar w:fldCharType="begin"/>
            </w:r>
            <w:r w:rsidR="009975E6">
              <w:rPr>
                <w:noProof/>
                <w:webHidden/>
              </w:rPr>
              <w:instrText xml:space="preserve"> PAGEREF _Toc176941426 \h </w:instrText>
            </w:r>
            <w:r w:rsidR="009975E6">
              <w:rPr>
                <w:noProof/>
                <w:webHidden/>
              </w:rPr>
            </w:r>
            <w:r w:rsidR="009975E6">
              <w:rPr>
                <w:noProof/>
                <w:webHidden/>
              </w:rPr>
              <w:fldChar w:fldCharType="separate"/>
            </w:r>
            <w:r w:rsidR="0026453B">
              <w:rPr>
                <w:noProof/>
                <w:webHidden/>
              </w:rPr>
              <w:t>25</w:t>
            </w:r>
            <w:r w:rsidR="009975E6">
              <w:rPr>
                <w:noProof/>
                <w:webHidden/>
              </w:rPr>
              <w:fldChar w:fldCharType="end"/>
            </w:r>
          </w:hyperlink>
        </w:p>
        <w:p w14:paraId="32FFC9C2" w14:textId="05C4235E" w:rsidR="009975E6" w:rsidRDefault="00D45897">
          <w:pPr>
            <w:pStyle w:val="Spistreci2"/>
            <w:rPr>
              <w:rFonts w:asciiTheme="minorHAnsi" w:hAnsiTheme="minorHAnsi" w:cstheme="minorBidi"/>
              <w:noProof/>
            </w:rPr>
          </w:pPr>
          <w:hyperlink w:anchor="_Toc176941427" w:history="1">
            <w:r w:rsidR="009975E6" w:rsidRPr="00A47314">
              <w:rPr>
                <w:rStyle w:val="Hipercze"/>
                <w:rFonts w:eastAsia="Calibri" w:cs="Calibri"/>
                <w:noProof/>
              </w:rPr>
              <w:t>J.</w:t>
            </w:r>
            <w:r w:rsidR="009975E6">
              <w:rPr>
                <w:rFonts w:asciiTheme="minorHAnsi" w:hAnsiTheme="minorHAnsi" w:cstheme="minorBidi"/>
                <w:noProof/>
              </w:rPr>
              <w:tab/>
            </w:r>
            <w:r w:rsidR="009975E6" w:rsidRPr="00A47314">
              <w:rPr>
                <w:rStyle w:val="Hipercze"/>
                <w:rFonts w:eastAsia="Calibri" w:cs="Calibri"/>
                <w:noProof/>
              </w:rPr>
              <w:t>Partnerstwo</w:t>
            </w:r>
            <w:r w:rsidR="009975E6">
              <w:rPr>
                <w:noProof/>
                <w:webHidden/>
              </w:rPr>
              <w:tab/>
            </w:r>
            <w:r w:rsidR="009975E6">
              <w:rPr>
                <w:noProof/>
                <w:webHidden/>
              </w:rPr>
              <w:fldChar w:fldCharType="begin"/>
            </w:r>
            <w:r w:rsidR="009975E6">
              <w:rPr>
                <w:noProof/>
                <w:webHidden/>
              </w:rPr>
              <w:instrText xml:space="preserve"> PAGEREF _Toc176941427 \h </w:instrText>
            </w:r>
            <w:r w:rsidR="009975E6">
              <w:rPr>
                <w:noProof/>
                <w:webHidden/>
              </w:rPr>
            </w:r>
            <w:r w:rsidR="009975E6">
              <w:rPr>
                <w:noProof/>
                <w:webHidden/>
              </w:rPr>
              <w:fldChar w:fldCharType="separate"/>
            </w:r>
            <w:r w:rsidR="0026453B">
              <w:rPr>
                <w:noProof/>
                <w:webHidden/>
              </w:rPr>
              <w:t>25</w:t>
            </w:r>
            <w:r w:rsidR="009975E6">
              <w:rPr>
                <w:noProof/>
                <w:webHidden/>
              </w:rPr>
              <w:fldChar w:fldCharType="end"/>
            </w:r>
          </w:hyperlink>
        </w:p>
        <w:p w14:paraId="19EBD3DF" w14:textId="0AEF8423" w:rsidR="009975E6" w:rsidRDefault="00D45897">
          <w:pPr>
            <w:pStyle w:val="Spistreci1"/>
            <w:rPr>
              <w:rFonts w:asciiTheme="minorHAnsi" w:eastAsiaTheme="minorEastAsia" w:hAnsiTheme="minorHAnsi" w:cstheme="minorBidi"/>
              <w:b w:val="0"/>
              <w:sz w:val="22"/>
              <w:szCs w:val="22"/>
            </w:rPr>
          </w:pPr>
          <w:hyperlink w:anchor="_Toc176941428" w:history="1">
            <w:r w:rsidR="009975E6" w:rsidRPr="00A47314">
              <w:rPr>
                <w:rStyle w:val="Hipercze"/>
                <w:rFonts w:cs="Calibri"/>
              </w:rPr>
              <w:t>III.</w:t>
            </w:r>
            <w:r w:rsidR="009975E6">
              <w:rPr>
                <w:rFonts w:asciiTheme="minorHAnsi" w:eastAsiaTheme="minorEastAsia" w:hAnsiTheme="minorHAnsi" w:cstheme="minorBidi"/>
                <w:b w:val="0"/>
                <w:sz w:val="22"/>
                <w:szCs w:val="22"/>
              </w:rPr>
              <w:tab/>
            </w:r>
            <w:r w:rsidR="009975E6" w:rsidRPr="00A47314">
              <w:rPr>
                <w:rStyle w:val="Hipercze"/>
                <w:rFonts w:cs="Calibri"/>
              </w:rPr>
              <w:t>Zasady horyzontalne i środowiskowe</w:t>
            </w:r>
            <w:r w:rsidR="009975E6">
              <w:rPr>
                <w:webHidden/>
              </w:rPr>
              <w:tab/>
            </w:r>
            <w:r w:rsidR="009975E6">
              <w:rPr>
                <w:webHidden/>
              </w:rPr>
              <w:fldChar w:fldCharType="begin"/>
            </w:r>
            <w:r w:rsidR="009975E6">
              <w:rPr>
                <w:webHidden/>
              </w:rPr>
              <w:instrText xml:space="preserve"> PAGEREF _Toc176941428 \h </w:instrText>
            </w:r>
            <w:r w:rsidR="009975E6">
              <w:rPr>
                <w:webHidden/>
              </w:rPr>
            </w:r>
            <w:r w:rsidR="009975E6">
              <w:rPr>
                <w:webHidden/>
              </w:rPr>
              <w:fldChar w:fldCharType="separate"/>
            </w:r>
            <w:r w:rsidR="0026453B">
              <w:rPr>
                <w:webHidden/>
              </w:rPr>
              <w:t>27</w:t>
            </w:r>
            <w:r w:rsidR="009975E6">
              <w:rPr>
                <w:webHidden/>
              </w:rPr>
              <w:fldChar w:fldCharType="end"/>
            </w:r>
          </w:hyperlink>
        </w:p>
        <w:p w14:paraId="072BD4ED" w14:textId="76722981" w:rsidR="009975E6" w:rsidRDefault="00D45897">
          <w:pPr>
            <w:pStyle w:val="Spistreci2"/>
            <w:rPr>
              <w:rFonts w:asciiTheme="minorHAnsi" w:hAnsiTheme="minorHAnsi" w:cstheme="minorBidi"/>
              <w:noProof/>
            </w:rPr>
          </w:pPr>
          <w:hyperlink w:anchor="_Toc176941429"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Zasada równości kobiet i mężczyzn</w:t>
            </w:r>
            <w:r w:rsidR="009975E6">
              <w:rPr>
                <w:noProof/>
                <w:webHidden/>
              </w:rPr>
              <w:tab/>
            </w:r>
            <w:r w:rsidR="009975E6">
              <w:rPr>
                <w:noProof/>
                <w:webHidden/>
              </w:rPr>
              <w:fldChar w:fldCharType="begin"/>
            </w:r>
            <w:r w:rsidR="009975E6">
              <w:rPr>
                <w:noProof/>
                <w:webHidden/>
              </w:rPr>
              <w:instrText xml:space="preserve"> PAGEREF _Toc176941429 \h </w:instrText>
            </w:r>
            <w:r w:rsidR="009975E6">
              <w:rPr>
                <w:noProof/>
                <w:webHidden/>
              </w:rPr>
            </w:r>
            <w:r w:rsidR="009975E6">
              <w:rPr>
                <w:noProof/>
                <w:webHidden/>
              </w:rPr>
              <w:fldChar w:fldCharType="separate"/>
            </w:r>
            <w:r w:rsidR="0026453B">
              <w:rPr>
                <w:noProof/>
                <w:webHidden/>
              </w:rPr>
              <w:t>27</w:t>
            </w:r>
            <w:r w:rsidR="009975E6">
              <w:rPr>
                <w:noProof/>
                <w:webHidden/>
              </w:rPr>
              <w:fldChar w:fldCharType="end"/>
            </w:r>
          </w:hyperlink>
        </w:p>
        <w:p w14:paraId="37944371" w14:textId="7AC0A420" w:rsidR="009975E6" w:rsidRDefault="00D45897">
          <w:pPr>
            <w:pStyle w:val="Spistreci2"/>
            <w:rPr>
              <w:rFonts w:asciiTheme="minorHAnsi" w:hAnsiTheme="minorHAnsi" w:cstheme="minorBidi"/>
              <w:noProof/>
            </w:rPr>
          </w:pPr>
          <w:hyperlink w:anchor="_Toc176941430"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Zasada równości szans i niedyskryminacji, w tym dostępności dla osób z niepełnosprawnościami</w:t>
            </w:r>
            <w:r w:rsidR="009975E6">
              <w:rPr>
                <w:noProof/>
                <w:webHidden/>
              </w:rPr>
              <w:tab/>
            </w:r>
            <w:r w:rsidR="009975E6">
              <w:rPr>
                <w:noProof/>
                <w:webHidden/>
              </w:rPr>
              <w:fldChar w:fldCharType="begin"/>
            </w:r>
            <w:r w:rsidR="009975E6">
              <w:rPr>
                <w:noProof/>
                <w:webHidden/>
              </w:rPr>
              <w:instrText xml:space="preserve"> PAGEREF _Toc176941430 \h </w:instrText>
            </w:r>
            <w:r w:rsidR="009975E6">
              <w:rPr>
                <w:noProof/>
                <w:webHidden/>
              </w:rPr>
            </w:r>
            <w:r w:rsidR="009975E6">
              <w:rPr>
                <w:noProof/>
                <w:webHidden/>
              </w:rPr>
              <w:fldChar w:fldCharType="separate"/>
            </w:r>
            <w:r w:rsidR="0026453B">
              <w:rPr>
                <w:noProof/>
                <w:webHidden/>
              </w:rPr>
              <w:t>28</w:t>
            </w:r>
            <w:r w:rsidR="009975E6">
              <w:rPr>
                <w:noProof/>
                <w:webHidden/>
              </w:rPr>
              <w:fldChar w:fldCharType="end"/>
            </w:r>
          </w:hyperlink>
        </w:p>
        <w:p w14:paraId="4DEC1A7F" w14:textId="15721BA1" w:rsidR="009975E6" w:rsidRDefault="00D45897">
          <w:pPr>
            <w:pStyle w:val="Spistreci2"/>
            <w:rPr>
              <w:rFonts w:asciiTheme="minorHAnsi" w:hAnsiTheme="minorHAnsi" w:cstheme="minorBidi"/>
              <w:noProof/>
            </w:rPr>
          </w:pPr>
          <w:hyperlink w:anchor="_Toc176941431"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Zasada zrównoważonego rozwoju i DNSH</w:t>
            </w:r>
            <w:r w:rsidR="009975E6">
              <w:rPr>
                <w:noProof/>
                <w:webHidden/>
              </w:rPr>
              <w:tab/>
            </w:r>
            <w:r w:rsidR="009975E6">
              <w:rPr>
                <w:noProof/>
                <w:webHidden/>
              </w:rPr>
              <w:fldChar w:fldCharType="begin"/>
            </w:r>
            <w:r w:rsidR="009975E6">
              <w:rPr>
                <w:noProof/>
                <w:webHidden/>
              </w:rPr>
              <w:instrText xml:space="preserve"> PAGEREF _Toc176941431 \h </w:instrText>
            </w:r>
            <w:r w:rsidR="009975E6">
              <w:rPr>
                <w:noProof/>
                <w:webHidden/>
              </w:rPr>
            </w:r>
            <w:r w:rsidR="009975E6">
              <w:rPr>
                <w:noProof/>
                <w:webHidden/>
              </w:rPr>
              <w:fldChar w:fldCharType="separate"/>
            </w:r>
            <w:r w:rsidR="0026453B">
              <w:rPr>
                <w:noProof/>
                <w:webHidden/>
              </w:rPr>
              <w:t>29</w:t>
            </w:r>
            <w:r w:rsidR="009975E6">
              <w:rPr>
                <w:noProof/>
                <w:webHidden/>
              </w:rPr>
              <w:fldChar w:fldCharType="end"/>
            </w:r>
          </w:hyperlink>
        </w:p>
        <w:p w14:paraId="75C148CF" w14:textId="2B02F9FA" w:rsidR="009975E6" w:rsidRDefault="00D45897">
          <w:pPr>
            <w:pStyle w:val="Spistreci1"/>
            <w:rPr>
              <w:rFonts w:asciiTheme="minorHAnsi" w:eastAsiaTheme="minorEastAsia" w:hAnsiTheme="minorHAnsi" w:cstheme="minorBidi"/>
              <w:b w:val="0"/>
              <w:sz w:val="22"/>
              <w:szCs w:val="22"/>
            </w:rPr>
          </w:pPr>
          <w:hyperlink w:anchor="_Toc176941432" w:history="1">
            <w:r w:rsidR="009975E6" w:rsidRPr="00A47314">
              <w:rPr>
                <w:rStyle w:val="Hipercze"/>
                <w:rFonts w:cs="Calibri"/>
              </w:rPr>
              <w:t>IV.</w:t>
            </w:r>
            <w:r w:rsidR="009975E6">
              <w:rPr>
                <w:rFonts w:asciiTheme="minorHAnsi" w:eastAsiaTheme="minorEastAsia" w:hAnsiTheme="minorHAnsi" w:cstheme="minorBidi"/>
                <w:b w:val="0"/>
                <w:sz w:val="22"/>
                <w:szCs w:val="22"/>
              </w:rPr>
              <w:tab/>
            </w:r>
            <w:r w:rsidR="009975E6" w:rsidRPr="00A47314">
              <w:rPr>
                <w:rStyle w:val="Hipercze"/>
                <w:rFonts w:cs="Calibri"/>
              </w:rPr>
              <w:t>Procedura wyboru projektów</w:t>
            </w:r>
            <w:r w:rsidR="009975E6">
              <w:rPr>
                <w:webHidden/>
              </w:rPr>
              <w:tab/>
            </w:r>
            <w:r w:rsidR="009975E6">
              <w:rPr>
                <w:webHidden/>
              </w:rPr>
              <w:fldChar w:fldCharType="begin"/>
            </w:r>
            <w:r w:rsidR="009975E6">
              <w:rPr>
                <w:webHidden/>
              </w:rPr>
              <w:instrText xml:space="preserve"> PAGEREF _Toc176941432 \h </w:instrText>
            </w:r>
            <w:r w:rsidR="009975E6">
              <w:rPr>
                <w:webHidden/>
              </w:rPr>
            </w:r>
            <w:r w:rsidR="009975E6">
              <w:rPr>
                <w:webHidden/>
              </w:rPr>
              <w:fldChar w:fldCharType="separate"/>
            </w:r>
            <w:r w:rsidR="0026453B">
              <w:rPr>
                <w:webHidden/>
              </w:rPr>
              <w:t>31</w:t>
            </w:r>
            <w:r w:rsidR="009975E6">
              <w:rPr>
                <w:webHidden/>
              </w:rPr>
              <w:fldChar w:fldCharType="end"/>
            </w:r>
          </w:hyperlink>
        </w:p>
        <w:p w14:paraId="131322C4" w14:textId="024AA54E" w:rsidR="009975E6" w:rsidRDefault="00D45897">
          <w:pPr>
            <w:pStyle w:val="Spistreci2"/>
            <w:rPr>
              <w:rFonts w:asciiTheme="minorHAnsi" w:hAnsiTheme="minorHAnsi" w:cstheme="minorBidi"/>
              <w:noProof/>
            </w:rPr>
          </w:pPr>
          <w:hyperlink w:anchor="_Toc176941433"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Nabór i złożenie wniosku</w:t>
            </w:r>
            <w:r w:rsidR="009975E6">
              <w:rPr>
                <w:noProof/>
                <w:webHidden/>
              </w:rPr>
              <w:tab/>
            </w:r>
            <w:r w:rsidR="009975E6">
              <w:rPr>
                <w:noProof/>
                <w:webHidden/>
              </w:rPr>
              <w:fldChar w:fldCharType="begin"/>
            </w:r>
            <w:r w:rsidR="009975E6">
              <w:rPr>
                <w:noProof/>
                <w:webHidden/>
              </w:rPr>
              <w:instrText xml:space="preserve"> PAGEREF _Toc176941433 \h </w:instrText>
            </w:r>
            <w:r w:rsidR="009975E6">
              <w:rPr>
                <w:noProof/>
                <w:webHidden/>
              </w:rPr>
            </w:r>
            <w:r w:rsidR="009975E6">
              <w:rPr>
                <w:noProof/>
                <w:webHidden/>
              </w:rPr>
              <w:fldChar w:fldCharType="separate"/>
            </w:r>
            <w:r w:rsidR="0026453B">
              <w:rPr>
                <w:noProof/>
                <w:webHidden/>
              </w:rPr>
              <w:t>31</w:t>
            </w:r>
            <w:r w:rsidR="009975E6">
              <w:rPr>
                <w:noProof/>
                <w:webHidden/>
              </w:rPr>
              <w:fldChar w:fldCharType="end"/>
            </w:r>
          </w:hyperlink>
        </w:p>
        <w:p w14:paraId="60296C87" w14:textId="3C3956CF" w:rsidR="009975E6" w:rsidRDefault="00D45897">
          <w:pPr>
            <w:pStyle w:val="Spistreci2"/>
            <w:rPr>
              <w:rFonts w:asciiTheme="minorHAnsi" w:hAnsiTheme="minorHAnsi" w:cstheme="minorBidi"/>
              <w:noProof/>
            </w:rPr>
          </w:pPr>
          <w:hyperlink w:anchor="_Toc176941434"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Ocena formalna i merytoryczna projektów – przeprowadzana przez LGD</w:t>
            </w:r>
            <w:r w:rsidR="009975E6">
              <w:rPr>
                <w:noProof/>
                <w:webHidden/>
              </w:rPr>
              <w:tab/>
            </w:r>
            <w:r w:rsidR="009975E6">
              <w:rPr>
                <w:noProof/>
                <w:webHidden/>
              </w:rPr>
              <w:fldChar w:fldCharType="begin"/>
            </w:r>
            <w:r w:rsidR="009975E6">
              <w:rPr>
                <w:noProof/>
                <w:webHidden/>
              </w:rPr>
              <w:instrText xml:space="preserve"> PAGEREF _Toc176941434 \h </w:instrText>
            </w:r>
            <w:r w:rsidR="009975E6">
              <w:rPr>
                <w:noProof/>
                <w:webHidden/>
              </w:rPr>
            </w:r>
            <w:r w:rsidR="009975E6">
              <w:rPr>
                <w:noProof/>
                <w:webHidden/>
              </w:rPr>
              <w:fldChar w:fldCharType="separate"/>
            </w:r>
            <w:r w:rsidR="0026453B">
              <w:rPr>
                <w:noProof/>
                <w:webHidden/>
              </w:rPr>
              <w:t>33</w:t>
            </w:r>
            <w:r w:rsidR="009975E6">
              <w:rPr>
                <w:noProof/>
                <w:webHidden/>
              </w:rPr>
              <w:fldChar w:fldCharType="end"/>
            </w:r>
          </w:hyperlink>
        </w:p>
        <w:p w14:paraId="30356125" w14:textId="1DD3AF5A" w:rsidR="009975E6" w:rsidRDefault="00D45897">
          <w:pPr>
            <w:pStyle w:val="Spistreci2"/>
            <w:rPr>
              <w:rFonts w:asciiTheme="minorHAnsi" w:hAnsiTheme="minorHAnsi" w:cstheme="minorBidi"/>
              <w:noProof/>
            </w:rPr>
          </w:pPr>
          <w:hyperlink w:anchor="_Toc176941435"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Weryfikacja poprawności procesu naboru i oceny wniosków przez LGD – przeprowadzana przez DOW</w:t>
            </w:r>
            <w:r w:rsidR="009975E6">
              <w:rPr>
                <w:noProof/>
                <w:webHidden/>
              </w:rPr>
              <w:tab/>
            </w:r>
            <w:r w:rsidR="009975E6">
              <w:rPr>
                <w:noProof/>
                <w:webHidden/>
              </w:rPr>
              <w:fldChar w:fldCharType="begin"/>
            </w:r>
            <w:r w:rsidR="009975E6">
              <w:rPr>
                <w:noProof/>
                <w:webHidden/>
              </w:rPr>
              <w:instrText xml:space="preserve"> PAGEREF _Toc176941435 \h </w:instrText>
            </w:r>
            <w:r w:rsidR="009975E6">
              <w:rPr>
                <w:noProof/>
                <w:webHidden/>
              </w:rPr>
            </w:r>
            <w:r w:rsidR="009975E6">
              <w:rPr>
                <w:noProof/>
                <w:webHidden/>
              </w:rPr>
              <w:fldChar w:fldCharType="separate"/>
            </w:r>
            <w:r w:rsidR="0026453B">
              <w:rPr>
                <w:noProof/>
                <w:webHidden/>
              </w:rPr>
              <w:t>34</w:t>
            </w:r>
            <w:r w:rsidR="009975E6">
              <w:rPr>
                <w:noProof/>
                <w:webHidden/>
              </w:rPr>
              <w:fldChar w:fldCharType="end"/>
            </w:r>
          </w:hyperlink>
        </w:p>
        <w:p w14:paraId="0ADC83B7" w14:textId="7613B73A" w:rsidR="009975E6" w:rsidRDefault="00D45897">
          <w:pPr>
            <w:pStyle w:val="Spistreci2"/>
            <w:rPr>
              <w:rFonts w:asciiTheme="minorHAnsi" w:hAnsiTheme="minorHAnsi" w:cstheme="minorBidi"/>
              <w:noProof/>
            </w:rPr>
          </w:pPr>
          <w:hyperlink w:anchor="_Toc176941436"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Ostateczna weryfikacja kwalifikowalności – przeprowadzana przez DWP</w:t>
            </w:r>
            <w:r w:rsidR="009975E6">
              <w:rPr>
                <w:noProof/>
                <w:webHidden/>
              </w:rPr>
              <w:tab/>
            </w:r>
            <w:r w:rsidR="009975E6">
              <w:rPr>
                <w:noProof/>
                <w:webHidden/>
              </w:rPr>
              <w:fldChar w:fldCharType="begin"/>
            </w:r>
            <w:r w:rsidR="009975E6">
              <w:rPr>
                <w:noProof/>
                <w:webHidden/>
              </w:rPr>
              <w:instrText xml:space="preserve"> PAGEREF _Toc176941436 \h </w:instrText>
            </w:r>
            <w:r w:rsidR="009975E6">
              <w:rPr>
                <w:noProof/>
                <w:webHidden/>
              </w:rPr>
            </w:r>
            <w:r w:rsidR="009975E6">
              <w:rPr>
                <w:noProof/>
                <w:webHidden/>
              </w:rPr>
              <w:fldChar w:fldCharType="separate"/>
            </w:r>
            <w:r w:rsidR="0026453B">
              <w:rPr>
                <w:noProof/>
                <w:webHidden/>
              </w:rPr>
              <w:t>34</w:t>
            </w:r>
            <w:r w:rsidR="009975E6">
              <w:rPr>
                <w:noProof/>
                <w:webHidden/>
              </w:rPr>
              <w:fldChar w:fldCharType="end"/>
            </w:r>
          </w:hyperlink>
        </w:p>
        <w:p w14:paraId="48B5AA98" w14:textId="6F699CB4" w:rsidR="009975E6" w:rsidRDefault="00D45897">
          <w:pPr>
            <w:pStyle w:val="Spistreci2"/>
            <w:rPr>
              <w:rFonts w:asciiTheme="minorHAnsi" w:hAnsiTheme="minorHAnsi" w:cstheme="minorBidi"/>
              <w:noProof/>
            </w:rPr>
          </w:pPr>
          <w:hyperlink w:anchor="_Toc176941437"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Wybór projektów do dofinansowania</w:t>
            </w:r>
            <w:r w:rsidR="009975E6">
              <w:rPr>
                <w:noProof/>
                <w:webHidden/>
              </w:rPr>
              <w:tab/>
            </w:r>
            <w:r w:rsidR="009975E6">
              <w:rPr>
                <w:noProof/>
                <w:webHidden/>
              </w:rPr>
              <w:fldChar w:fldCharType="begin"/>
            </w:r>
            <w:r w:rsidR="009975E6">
              <w:rPr>
                <w:noProof/>
                <w:webHidden/>
              </w:rPr>
              <w:instrText xml:space="preserve"> PAGEREF _Toc176941437 \h </w:instrText>
            </w:r>
            <w:r w:rsidR="009975E6">
              <w:rPr>
                <w:noProof/>
                <w:webHidden/>
              </w:rPr>
            </w:r>
            <w:r w:rsidR="009975E6">
              <w:rPr>
                <w:noProof/>
                <w:webHidden/>
              </w:rPr>
              <w:fldChar w:fldCharType="separate"/>
            </w:r>
            <w:r w:rsidR="0026453B">
              <w:rPr>
                <w:noProof/>
                <w:webHidden/>
              </w:rPr>
              <w:t>36</w:t>
            </w:r>
            <w:r w:rsidR="009975E6">
              <w:rPr>
                <w:noProof/>
                <w:webHidden/>
              </w:rPr>
              <w:fldChar w:fldCharType="end"/>
            </w:r>
          </w:hyperlink>
        </w:p>
        <w:p w14:paraId="7C5E5C03" w14:textId="0BD2C074" w:rsidR="009975E6" w:rsidRDefault="00D45897">
          <w:pPr>
            <w:pStyle w:val="Spistreci2"/>
            <w:rPr>
              <w:rFonts w:asciiTheme="minorHAnsi" w:hAnsiTheme="minorHAnsi" w:cstheme="minorBidi"/>
              <w:noProof/>
            </w:rPr>
          </w:pPr>
          <w:hyperlink w:anchor="_Toc176941438"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Procedura odwoławcza</w:t>
            </w:r>
            <w:r w:rsidR="009975E6">
              <w:rPr>
                <w:noProof/>
                <w:webHidden/>
              </w:rPr>
              <w:tab/>
            </w:r>
            <w:r w:rsidR="009975E6">
              <w:rPr>
                <w:noProof/>
                <w:webHidden/>
              </w:rPr>
              <w:fldChar w:fldCharType="begin"/>
            </w:r>
            <w:r w:rsidR="009975E6">
              <w:rPr>
                <w:noProof/>
                <w:webHidden/>
              </w:rPr>
              <w:instrText xml:space="preserve"> PAGEREF _Toc176941438 \h </w:instrText>
            </w:r>
            <w:r w:rsidR="009975E6">
              <w:rPr>
                <w:noProof/>
                <w:webHidden/>
              </w:rPr>
            </w:r>
            <w:r w:rsidR="009975E6">
              <w:rPr>
                <w:noProof/>
                <w:webHidden/>
              </w:rPr>
              <w:fldChar w:fldCharType="separate"/>
            </w:r>
            <w:r w:rsidR="0026453B">
              <w:rPr>
                <w:noProof/>
                <w:webHidden/>
              </w:rPr>
              <w:t>36</w:t>
            </w:r>
            <w:r w:rsidR="009975E6">
              <w:rPr>
                <w:noProof/>
                <w:webHidden/>
              </w:rPr>
              <w:fldChar w:fldCharType="end"/>
            </w:r>
          </w:hyperlink>
        </w:p>
        <w:p w14:paraId="4AFCD447" w14:textId="0CDCA3C7" w:rsidR="009975E6" w:rsidRDefault="00D45897">
          <w:pPr>
            <w:pStyle w:val="Spistreci1"/>
            <w:rPr>
              <w:rFonts w:asciiTheme="minorHAnsi" w:eastAsiaTheme="minorEastAsia" w:hAnsiTheme="minorHAnsi" w:cstheme="minorBidi"/>
              <w:b w:val="0"/>
              <w:sz w:val="22"/>
              <w:szCs w:val="22"/>
            </w:rPr>
          </w:pPr>
          <w:hyperlink w:anchor="_Toc176941439" w:history="1">
            <w:r w:rsidR="009975E6" w:rsidRPr="00A47314">
              <w:rPr>
                <w:rStyle w:val="Hipercze"/>
                <w:rFonts w:cs="Calibri"/>
              </w:rPr>
              <w:t>V.</w:t>
            </w:r>
            <w:r w:rsidR="009975E6">
              <w:rPr>
                <w:rFonts w:asciiTheme="minorHAnsi" w:eastAsiaTheme="minorEastAsia" w:hAnsiTheme="minorHAnsi" w:cstheme="minorBidi"/>
                <w:b w:val="0"/>
                <w:sz w:val="22"/>
                <w:szCs w:val="22"/>
              </w:rPr>
              <w:tab/>
            </w:r>
            <w:r w:rsidR="009975E6" w:rsidRPr="00A47314">
              <w:rPr>
                <w:rStyle w:val="Hipercze"/>
                <w:rFonts w:cs="Calibri"/>
              </w:rPr>
              <w:t>Umowa o dofinansowanie</w:t>
            </w:r>
            <w:r w:rsidR="009975E6">
              <w:rPr>
                <w:webHidden/>
              </w:rPr>
              <w:tab/>
            </w:r>
            <w:r w:rsidR="009975E6">
              <w:rPr>
                <w:webHidden/>
              </w:rPr>
              <w:fldChar w:fldCharType="begin"/>
            </w:r>
            <w:r w:rsidR="009975E6">
              <w:rPr>
                <w:webHidden/>
              </w:rPr>
              <w:instrText xml:space="preserve"> PAGEREF _Toc176941439 \h </w:instrText>
            </w:r>
            <w:r w:rsidR="009975E6">
              <w:rPr>
                <w:webHidden/>
              </w:rPr>
            </w:r>
            <w:r w:rsidR="009975E6">
              <w:rPr>
                <w:webHidden/>
              </w:rPr>
              <w:fldChar w:fldCharType="separate"/>
            </w:r>
            <w:r w:rsidR="0026453B">
              <w:rPr>
                <w:webHidden/>
              </w:rPr>
              <w:t>37</w:t>
            </w:r>
            <w:r w:rsidR="009975E6">
              <w:rPr>
                <w:webHidden/>
              </w:rPr>
              <w:fldChar w:fldCharType="end"/>
            </w:r>
          </w:hyperlink>
        </w:p>
        <w:p w14:paraId="606884ED" w14:textId="423CAEB9" w:rsidR="009975E6" w:rsidRDefault="00D45897">
          <w:pPr>
            <w:pStyle w:val="Spistreci1"/>
            <w:rPr>
              <w:rFonts w:asciiTheme="minorHAnsi" w:eastAsiaTheme="minorEastAsia" w:hAnsiTheme="minorHAnsi" w:cstheme="minorBidi"/>
              <w:b w:val="0"/>
              <w:sz w:val="22"/>
              <w:szCs w:val="22"/>
            </w:rPr>
          </w:pPr>
          <w:hyperlink w:anchor="_Toc176941440" w:history="1">
            <w:r w:rsidR="009975E6" w:rsidRPr="00A47314">
              <w:rPr>
                <w:rStyle w:val="Hipercze"/>
                <w:rFonts w:cs="Calibri"/>
              </w:rPr>
              <w:t>VI.</w:t>
            </w:r>
            <w:r w:rsidR="009975E6">
              <w:rPr>
                <w:rFonts w:asciiTheme="minorHAnsi" w:eastAsiaTheme="minorEastAsia" w:hAnsiTheme="minorHAnsi" w:cstheme="minorBidi"/>
                <w:b w:val="0"/>
                <w:sz w:val="22"/>
                <w:szCs w:val="22"/>
              </w:rPr>
              <w:tab/>
            </w:r>
            <w:r w:rsidR="009975E6" w:rsidRPr="00A47314">
              <w:rPr>
                <w:rStyle w:val="Hipercze"/>
                <w:rFonts w:cs="Calibri"/>
              </w:rPr>
              <w:t>Dokumentacja zezwalająca na realizację projektu</w:t>
            </w:r>
            <w:r w:rsidR="009975E6">
              <w:rPr>
                <w:webHidden/>
              </w:rPr>
              <w:tab/>
            </w:r>
            <w:r w:rsidR="009975E6">
              <w:rPr>
                <w:webHidden/>
              </w:rPr>
              <w:fldChar w:fldCharType="begin"/>
            </w:r>
            <w:r w:rsidR="009975E6">
              <w:rPr>
                <w:webHidden/>
              </w:rPr>
              <w:instrText xml:space="preserve"> PAGEREF _Toc176941440 \h </w:instrText>
            </w:r>
            <w:r w:rsidR="009975E6">
              <w:rPr>
                <w:webHidden/>
              </w:rPr>
            </w:r>
            <w:r w:rsidR="009975E6">
              <w:rPr>
                <w:webHidden/>
              </w:rPr>
              <w:fldChar w:fldCharType="separate"/>
            </w:r>
            <w:r w:rsidR="0026453B">
              <w:rPr>
                <w:webHidden/>
              </w:rPr>
              <w:t>42</w:t>
            </w:r>
            <w:r w:rsidR="009975E6">
              <w:rPr>
                <w:webHidden/>
              </w:rPr>
              <w:fldChar w:fldCharType="end"/>
            </w:r>
          </w:hyperlink>
        </w:p>
        <w:p w14:paraId="24C06FD6" w14:textId="49D3891C" w:rsidR="009975E6" w:rsidRDefault="00D45897">
          <w:pPr>
            <w:pStyle w:val="Spistreci1"/>
            <w:rPr>
              <w:rFonts w:asciiTheme="minorHAnsi" w:eastAsiaTheme="minorEastAsia" w:hAnsiTheme="minorHAnsi" w:cstheme="minorBidi"/>
              <w:b w:val="0"/>
              <w:sz w:val="22"/>
              <w:szCs w:val="22"/>
            </w:rPr>
          </w:pPr>
          <w:hyperlink w:anchor="_Toc176941441" w:history="1">
            <w:r w:rsidR="009975E6" w:rsidRPr="00A47314">
              <w:rPr>
                <w:rStyle w:val="Hipercze"/>
                <w:rFonts w:cs="Calibri"/>
              </w:rPr>
              <w:t>VII.</w:t>
            </w:r>
            <w:r w:rsidR="009975E6">
              <w:rPr>
                <w:rFonts w:asciiTheme="minorHAnsi" w:eastAsiaTheme="minorEastAsia" w:hAnsiTheme="minorHAnsi" w:cstheme="minorBidi"/>
                <w:b w:val="0"/>
                <w:sz w:val="22"/>
                <w:szCs w:val="22"/>
              </w:rPr>
              <w:tab/>
            </w:r>
            <w:r w:rsidR="009975E6" w:rsidRPr="00A47314">
              <w:rPr>
                <w:rStyle w:val="Hipercze"/>
                <w:rFonts w:cs="Calibri"/>
              </w:rPr>
              <w:t>Zamówienia publiczne</w:t>
            </w:r>
            <w:r w:rsidR="009975E6">
              <w:rPr>
                <w:webHidden/>
              </w:rPr>
              <w:tab/>
            </w:r>
            <w:r w:rsidR="009975E6">
              <w:rPr>
                <w:webHidden/>
              </w:rPr>
              <w:fldChar w:fldCharType="begin"/>
            </w:r>
            <w:r w:rsidR="009975E6">
              <w:rPr>
                <w:webHidden/>
              </w:rPr>
              <w:instrText xml:space="preserve"> PAGEREF _Toc176941441 \h </w:instrText>
            </w:r>
            <w:r w:rsidR="009975E6">
              <w:rPr>
                <w:webHidden/>
              </w:rPr>
            </w:r>
            <w:r w:rsidR="009975E6">
              <w:rPr>
                <w:webHidden/>
              </w:rPr>
              <w:fldChar w:fldCharType="separate"/>
            </w:r>
            <w:r w:rsidR="0026453B">
              <w:rPr>
                <w:webHidden/>
              </w:rPr>
              <w:t>47</w:t>
            </w:r>
            <w:r w:rsidR="009975E6">
              <w:rPr>
                <w:webHidden/>
              </w:rPr>
              <w:fldChar w:fldCharType="end"/>
            </w:r>
          </w:hyperlink>
        </w:p>
        <w:p w14:paraId="058F2243" w14:textId="1F5B1F3F" w:rsidR="009975E6" w:rsidRDefault="00D45897">
          <w:pPr>
            <w:pStyle w:val="Spistreci1"/>
            <w:rPr>
              <w:rFonts w:asciiTheme="minorHAnsi" w:eastAsiaTheme="minorEastAsia" w:hAnsiTheme="minorHAnsi" w:cstheme="minorBidi"/>
              <w:b w:val="0"/>
              <w:sz w:val="22"/>
              <w:szCs w:val="22"/>
            </w:rPr>
          </w:pPr>
          <w:hyperlink w:anchor="_Toc176941442" w:history="1">
            <w:r w:rsidR="009975E6" w:rsidRPr="00A47314">
              <w:rPr>
                <w:rStyle w:val="Hipercze"/>
                <w:rFonts w:cs="Calibri"/>
              </w:rPr>
              <w:t>VIII.</w:t>
            </w:r>
            <w:r w:rsidR="009975E6">
              <w:rPr>
                <w:rFonts w:asciiTheme="minorHAnsi" w:eastAsiaTheme="minorEastAsia" w:hAnsiTheme="minorHAnsi" w:cstheme="minorBidi"/>
                <w:b w:val="0"/>
                <w:sz w:val="22"/>
                <w:szCs w:val="22"/>
              </w:rPr>
              <w:tab/>
            </w:r>
            <w:r w:rsidR="009975E6" w:rsidRPr="00A47314">
              <w:rPr>
                <w:rStyle w:val="Hipercze"/>
                <w:rFonts w:cs="Calibri"/>
              </w:rPr>
              <w:t>Zasady wypłaty dofinansowania i rozliczania projektów</w:t>
            </w:r>
            <w:r w:rsidR="009975E6">
              <w:rPr>
                <w:webHidden/>
              </w:rPr>
              <w:tab/>
            </w:r>
            <w:r w:rsidR="009975E6">
              <w:rPr>
                <w:webHidden/>
              </w:rPr>
              <w:fldChar w:fldCharType="begin"/>
            </w:r>
            <w:r w:rsidR="009975E6">
              <w:rPr>
                <w:webHidden/>
              </w:rPr>
              <w:instrText xml:space="preserve"> PAGEREF _Toc176941442 \h </w:instrText>
            </w:r>
            <w:r w:rsidR="009975E6">
              <w:rPr>
                <w:webHidden/>
              </w:rPr>
            </w:r>
            <w:r w:rsidR="009975E6">
              <w:rPr>
                <w:webHidden/>
              </w:rPr>
              <w:fldChar w:fldCharType="separate"/>
            </w:r>
            <w:r w:rsidR="0026453B">
              <w:rPr>
                <w:webHidden/>
              </w:rPr>
              <w:t>50</w:t>
            </w:r>
            <w:r w:rsidR="009975E6">
              <w:rPr>
                <w:webHidden/>
              </w:rPr>
              <w:fldChar w:fldCharType="end"/>
            </w:r>
          </w:hyperlink>
        </w:p>
        <w:p w14:paraId="5F221CAF" w14:textId="120048EE" w:rsidR="009975E6" w:rsidRDefault="00D45897">
          <w:pPr>
            <w:pStyle w:val="Spistreci1"/>
            <w:rPr>
              <w:rFonts w:asciiTheme="minorHAnsi" w:eastAsiaTheme="minorEastAsia" w:hAnsiTheme="minorHAnsi" w:cstheme="minorBidi"/>
              <w:b w:val="0"/>
              <w:sz w:val="22"/>
              <w:szCs w:val="22"/>
            </w:rPr>
          </w:pPr>
          <w:hyperlink w:anchor="_Toc176941443" w:history="1">
            <w:r w:rsidR="009975E6" w:rsidRPr="00A47314">
              <w:rPr>
                <w:rStyle w:val="Hipercze"/>
                <w:rFonts w:cs="Calibri"/>
              </w:rPr>
              <w:t>IX.</w:t>
            </w:r>
            <w:r w:rsidR="009975E6">
              <w:rPr>
                <w:rFonts w:asciiTheme="minorHAnsi" w:eastAsiaTheme="minorEastAsia" w:hAnsiTheme="minorHAnsi" w:cstheme="minorBidi"/>
                <w:b w:val="0"/>
                <w:sz w:val="22"/>
                <w:szCs w:val="22"/>
              </w:rPr>
              <w:tab/>
            </w:r>
            <w:r w:rsidR="009975E6" w:rsidRPr="00A47314">
              <w:rPr>
                <w:rStyle w:val="Hipercze"/>
                <w:rFonts w:cs="Calibri"/>
              </w:rPr>
              <w:t>Postanowienia końcowe</w:t>
            </w:r>
            <w:r w:rsidR="009975E6">
              <w:rPr>
                <w:webHidden/>
              </w:rPr>
              <w:tab/>
            </w:r>
            <w:r w:rsidR="009975E6">
              <w:rPr>
                <w:webHidden/>
              </w:rPr>
              <w:fldChar w:fldCharType="begin"/>
            </w:r>
            <w:r w:rsidR="009975E6">
              <w:rPr>
                <w:webHidden/>
              </w:rPr>
              <w:instrText xml:space="preserve"> PAGEREF _Toc176941443 \h </w:instrText>
            </w:r>
            <w:r w:rsidR="009975E6">
              <w:rPr>
                <w:webHidden/>
              </w:rPr>
            </w:r>
            <w:r w:rsidR="009975E6">
              <w:rPr>
                <w:webHidden/>
              </w:rPr>
              <w:fldChar w:fldCharType="separate"/>
            </w:r>
            <w:r w:rsidR="0026453B">
              <w:rPr>
                <w:webHidden/>
              </w:rPr>
              <w:t>51</w:t>
            </w:r>
            <w:r w:rsidR="009975E6">
              <w:rPr>
                <w:webHidden/>
              </w:rPr>
              <w:fldChar w:fldCharType="end"/>
            </w:r>
          </w:hyperlink>
        </w:p>
        <w:p w14:paraId="3AB35631" w14:textId="6C9D606E" w:rsidR="009975E6" w:rsidRDefault="00D45897">
          <w:pPr>
            <w:pStyle w:val="Spistreci1"/>
            <w:rPr>
              <w:rFonts w:asciiTheme="minorHAnsi" w:eastAsiaTheme="minorEastAsia" w:hAnsiTheme="minorHAnsi" w:cstheme="minorBidi"/>
              <w:b w:val="0"/>
              <w:sz w:val="22"/>
              <w:szCs w:val="22"/>
            </w:rPr>
          </w:pPr>
          <w:hyperlink w:anchor="_Toc176941444" w:history="1">
            <w:r w:rsidR="009975E6" w:rsidRPr="00A47314">
              <w:rPr>
                <w:rStyle w:val="Hipercze"/>
                <w:rFonts w:cs="Calibri"/>
              </w:rPr>
              <w:t>X.</w:t>
            </w:r>
            <w:r w:rsidR="009975E6">
              <w:rPr>
                <w:rFonts w:asciiTheme="minorHAnsi" w:eastAsiaTheme="minorEastAsia" w:hAnsiTheme="minorHAnsi" w:cstheme="minorBidi"/>
                <w:b w:val="0"/>
                <w:sz w:val="22"/>
                <w:szCs w:val="22"/>
              </w:rPr>
              <w:tab/>
            </w:r>
            <w:r w:rsidR="009975E6" w:rsidRPr="00A47314">
              <w:rPr>
                <w:rStyle w:val="Hipercze"/>
                <w:rFonts w:cs="Calibri"/>
              </w:rPr>
              <w:t>Załączniki</w:t>
            </w:r>
            <w:r w:rsidR="009975E6">
              <w:rPr>
                <w:webHidden/>
              </w:rPr>
              <w:tab/>
            </w:r>
            <w:r w:rsidR="009975E6">
              <w:rPr>
                <w:webHidden/>
              </w:rPr>
              <w:fldChar w:fldCharType="begin"/>
            </w:r>
            <w:r w:rsidR="009975E6">
              <w:rPr>
                <w:webHidden/>
              </w:rPr>
              <w:instrText xml:space="preserve"> PAGEREF _Toc176941444 \h </w:instrText>
            </w:r>
            <w:r w:rsidR="009975E6">
              <w:rPr>
                <w:webHidden/>
              </w:rPr>
            </w:r>
            <w:r w:rsidR="009975E6">
              <w:rPr>
                <w:webHidden/>
              </w:rPr>
              <w:fldChar w:fldCharType="separate"/>
            </w:r>
            <w:r w:rsidR="0026453B">
              <w:rPr>
                <w:webHidden/>
              </w:rPr>
              <w:t>53</w:t>
            </w:r>
            <w:r w:rsidR="009975E6">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1" w:name="_Toc176941414"/>
      <w:r>
        <w:rPr>
          <w:rFonts w:ascii="Calibri" w:eastAsia="Calibri" w:hAnsi="Calibri" w:cs="Calibri"/>
          <w:color w:val="FFFFFF"/>
          <w:sz w:val="48"/>
          <w:szCs w:val="48"/>
        </w:rPr>
        <w:lastRenderedPageBreak/>
        <w:t>Wykaz skrótów i pojęć używanych w Regulaminie</w:t>
      </w:r>
      <w:bookmarkEnd w:id="1"/>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Cross-financing</w:t>
            </w:r>
          </w:p>
        </w:tc>
        <w:tc>
          <w:tcPr>
            <w:tcW w:w="6662" w:type="dxa"/>
            <w:vAlign w:val="center"/>
          </w:tcPr>
          <w:p w14:paraId="6A30960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5964F5">
            <w:pPr>
              <w:spacing w:after="120" w:line="288" w:lineRule="auto"/>
              <w:jc w:val="both"/>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o obiegu zamkniętym, w tym zapobieganie powstawaniu odpadów i recykling, zapobieganie i kontrola zanieczyszczeń powietrza, wody lub ziemi, ochrona i odbudowa 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5964F5">
            <w:pPr>
              <w:widowControl w:val="0"/>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KZiA</w:t>
            </w:r>
          </w:p>
        </w:tc>
        <w:tc>
          <w:tcPr>
            <w:tcW w:w="6662" w:type="dxa"/>
            <w:vAlign w:val="center"/>
          </w:tcPr>
          <w:p w14:paraId="5D7BFD4E" w14:textId="77777777" w:rsidR="002070A9" w:rsidRPr="00924E40" w:rsidRDefault="00924E40" w:rsidP="005964F5">
            <w:pPr>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5964F5">
            <w:pPr>
              <w:spacing w:after="120" w:line="288" w:lineRule="auto"/>
              <w:jc w:val="both"/>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5964F5">
            <w:pPr>
              <w:spacing w:after="120" w:line="288" w:lineRule="auto"/>
              <w:jc w:val="both"/>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5964F5">
            <w:pPr>
              <w:spacing w:after="120" w:line="288" w:lineRule="auto"/>
              <w:jc w:val="both"/>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Personel projektu</w:t>
            </w:r>
          </w:p>
        </w:tc>
        <w:tc>
          <w:tcPr>
            <w:tcW w:w="6662" w:type="dxa"/>
            <w:vAlign w:val="center"/>
          </w:tcPr>
          <w:p w14:paraId="1759EF6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5964F5">
            <w:pPr>
              <w:numPr>
                <w:ilvl w:val="0"/>
                <w:numId w:val="3"/>
              </w:numPr>
              <w:spacing w:after="120" w:line="288" w:lineRule="auto"/>
              <w:ind w:left="276" w:hanging="276"/>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5964F5">
            <w:pPr>
              <w:numPr>
                <w:ilvl w:val="0"/>
                <w:numId w:val="3"/>
              </w:numPr>
              <w:spacing w:after="120" w:line="288" w:lineRule="auto"/>
              <w:ind w:left="276" w:hanging="276"/>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41BCFC7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5964F5">
            <w:pPr>
              <w:spacing w:after="120" w:line="288" w:lineRule="auto"/>
              <w:jc w:val="both"/>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Pr="00924E40">
              <w:rPr>
                <w:rFonts w:asciiTheme="minorHAnsi" w:eastAsia="Times New Roman" w:hAnsiTheme="minorHAnsi" w:cstheme="minorHAnsi"/>
                <w:sz w:val="24"/>
                <w:szCs w:val="24"/>
              </w:rPr>
              <w:lastRenderedPageBreak/>
              <w:t>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Euratom)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64F5">
            <w:pPr>
              <w:spacing w:after="120" w:line="288" w:lineRule="auto"/>
              <w:jc w:val="both"/>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5964F5">
            <w:pPr>
              <w:spacing w:after="120" w:line="288" w:lineRule="auto"/>
              <w:jc w:val="both"/>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r>
            <w:r w:rsidRPr="00924E40">
              <w:rPr>
                <w:rFonts w:asciiTheme="minorHAnsi" w:hAnsiTheme="minorHAnsi" w:cstheme="minorHAnsi"/>
                <w:b/>
                <w:color w:val="2E74B5"/>
                <w:sz w:val="24"/>
                <w:szCs w:val="24"/>
              </w:rPr>
              <w:lastRenderedPageBreak/>
              <w:t>za czyny zabronione pod groźbą kary</w:t>
            </w:r>
          </w:p>
        </w:tc>
        <w:tc>
          <w:tcPr>
            <w:tcW w:w="6662" w:type="dxa"/>
            <w:vAlign w:val="center"/>
          </w:tcPr>
          <w:p w14:paraId="53A212CE"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79CE91D0" w:rsidR="002070A9" w:rsidRPr="00924E40" w:rsidRDefault="00924E40" w:rsidP="0009249A">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09249A">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09249A">
              <w:rPr>
                <w:rFonts w:asciiTheme="minorHAnsi" w:eastAsia="Times New Roman" w:hAnsiTheme="minorHAnsi" w:cstheme="minorHAnsi"/>
                <w:sz w:val="24"/>
                <w:szCs w:val="24"/>
              </w:rPr>
              <w:t>1361)</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Web Content Accessibility Guidelines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5964F5">
            <w:pPr>
              <w:spacing w:after="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Wytyczne  dotyczące  zasad równościowych</w:t>
            </w:r>
          </w:p>
        </w:tc>
        <w:tc>
          <w:tcPr>
            <w:tcW w:w="6662" w:type="dxa"/>
            <w:vAlign w:val="center"/>
          </w:tcPr>
          <w:p w14:paraId="414C62EB"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5964F5">
            <w:pPr>
              <w:spacing w:after="120" w:line="288" w:lineRule="auto"/>
              <w:jc w:val="both"/>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5964F5">
            <w:pPr>
              <w:spacing w:after="120" w:line="288" w:lineRule="auto"/>
              <w:jc w:val="both"/>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 w:name="_Toc176941415"/>
      <w:r w:rsidR="00924E40">
        <w:rPr>
          <w:rFonts w:ascii="Calibri" w:eastAsia="Calibri" w:hAnsi="Calibri" w:cs="Calibri"/>
          <w:color w:val="FFFFFF"/>
          <w:sz w:val="48"/>
          <w:szCs w:val="48"/>
        </w:rPr>
        <w:t>Podstawowe informacje o naborze</w:t>
      </w:r>
      <w:bookmarkEnd w:id="2"/>
    </w:p>
    <w:p w14:paraId="5DA84CBF" w14:textId="77777777" w:rsidR="002070A9" w:rsidRDefault="00924E40" w:rsidP="005964F5">
      <w:pPr>
        <w:pStyle w:val="Nagwek2"/>
        <w:numPr>
          <w:ilvl w:val="0"/>
          <w:numId w:val="62"/>
        </w:numPr>
        <w:spacing w:before="240" w:after="120"/>
        <w:ind w:left="283" w:hanging="283"/>
        <w:jc w:val="both"/>
        <w:rPr>
          <w:rFonts w:ascii="Calibri" w:eastAsia="Calibri" w:hAnsi="Calibri" w:cs="Calibri"/>
          <w:sz w:val="28"/>
          <w:szCs w:val="28"/>
        </w:rPr>
      </w:pPr>
      <w:bookmarkStart w:id="3" w:name="_Toc176941416"/>
      <w:r>
        <w:rPr>
          <w:rFonts w:ascii="Calibri" w:eastAsia="Calibri" w:hAnsi="Calibri" w:cs="Calibri"/>
          <w:sz w:val="28"/>
          <w:szCs w:val="28"/>
        </w:rPr>
        <w:t>Instytucja organizująca nabór i dane kontaktowe</w:t>
      </w:r>
      <w:bookmarkEnd w:id="3"/>
    </w:p>
    <w:p w14:paraId="1C952770" w14:textId="44B85E65"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FF0000"/>
          <w:sz w:val="24"/>
          <w:szCs w:val="24"/>
        </w:rPr>
      </w:pPr>
      <w:r>
        <w:rPr>
          <w:color w:val="000000"/>
          <w:sz w:val="24"/>
          <w:szCs w:val="24"/>
        </w:rPr>
        <w:t xml:space="preserve">Instytucją organizującą nabór jest Lokalna Grupa Działania </w:t>
      </w:r>
      <w:r w:rsidR="000867FD">
        <w:rPr>
          <w:color w:val="000000"/>
          <w:sz w:val="24"/>
          <w:szCs w:val="24"/>
        </w:rPr>
        <w:t>Stowarzyszenie „Dolina Noteci”</w:t>
      </w:r>
      <w:r>
        <w:rPr>
          <w:color w:val="000000"/>
          <w:sz w:val="24"/>
          <w:szCs w:val="24"/>
        </w:rPr>
        <w:t xml:space="preserve">, która odpowiedzialna jest </w:t>
      </w:r>
      <w:r w:rsidR="000867FD">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rsidP="005964F5">
      <w:pPr>
        <w:numPr>
          <w:ilvl w:val="0"/>
          <w:numId w:val="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321FBBF5" w:rsidR="002070A9" w:rsidRDefault="004358B9" w:rsidP="005964F5">
      <w:pPr>
        <w:numPr>
          <w:ilvl w:val="0"/>
          <w:numId w:val="10"/>
        </w:numPr>
        <w:pBdr>
          <w:top w:val="nil"/>
          <w:left w:val="nil"/>
          <w:bottom w:val="nil"/>
          <w:right w:val="nil"/>
          <w:between w:val="nil"/>
        </w:pBdr>
        <w:spacing w:after="120" w:line="288" w:lineRule="auto"/>
        <w:ind w:left="992" w:hanging="425"/>
        <w:jc w:val="both"/>
        <w:rPr>
          <w:color w:val="000000"/>
          <w:sz w:val="24"/>
          <w:szCs w:val="24"/>
        </w:rPr>
      </w:pPr>
      <w:r w:rsidRPr="005964F5">
        <w:rPr>
          <w:sz w:val="24"/>
          <w:szCs w:val="24"/>
        </w:rPr>
        <w:t>k</w:t>
      </w:r>
      <w:r w:rsidR="00924E40" w:rsidRPr="005964F5">
        <w:rPr>
          <w:sz w:val="24"/>
          <w:szCs w:val="24"/>
        </w:rPr>
        <w:t>ontakt LGD</w:t>
      </w:r>
      <w:r w:rsidR="00FD0484" w:rsidRPr="005964F5">
        <w:rPr>
          <w:sz w:val="24"/>
          <w:szCs w:val="24"/>
        </w:rPr>
        <w:t>:</w:t>
      </w:r>
      <w:r w:rsidR="005964F5" w:rsidRPr="005964F5">
        <w:rPr>
          <w:sz w:val="24"/>
          <w:szCs w:val="24"/>
        </w:rPr>
        <w:t xml:space="preserve"> </w:t>
      </w:r>
      <w:hyperlink r:id="rId17" w:history="1">
        <w:r w:rsidR="005964F5" w:rsidRPr="000867FD">
          <w:rPr>
            <w:rStyle w:val="Hipercze"/>
            <w:color w:val="auto"/>
            <w:sz w:val="24"/>
            <w:szCs w:val="24"/>
          </w:rPr>
          <w:t>biuro@dolinanoteci.com.pl</w:t>
        </w:r>
      </w:hyperlink>
      <w:r w:rsidR="005964F5" w:rsidRPr="000867FD">
        <w:rPr>
          <w:sz w:val="24"/>
          <w:szCs w:val="24"/>
        </w:rPr>
        <w:t xml:space="preserve"> , tel. 693 933 246</w:t>
      </w:r>
    </w:p>
    <w:p w14:paraId="69FFCD1C" w14:textId="77777777" w:rsidR="002070A9" w:rsidRPr="001355C3" w:rsidRDefault="004358B9" w:rsidP="005964F5">
      <w:pPr>
        <w:numPr>
          <w:ilvl w:val="0"/>
          <w:numId w:val="10"/>
        </w:numPr>
        <w:pBdr>
          <w:top w:val="nil"/>
          <w:left w:val="nil"/>
          <w:bottom w:val="nil"/>
          <w:right w:val="nil"/>
          <w:between w:val="nil"/>
        </w:pBdr>
        <w:spacing w:after="120" w:line="288" w:lineRule="auto"/>
        <w:ind w:left="993" w:hanging="426"/>
        <w:jc w:val="both"/>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2F554DD0" w:rsidR="002070A9" w:rsidRDefault="00924E40" w:rsidP="005964F5">
      <w:pPr>
        <w:numPr>
          <w:ilvl w:val="0"/>
          <w:numId w:val="8"/>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Dokumentacja naboru dostępna jest na stronie na stronie internetowej LGD </w:t>
      </w:r>
      <w:hyperlink r:id="rId19" w:history="1">
        <w:r w:rsidR="005964F5" w:rsidRPr="00A23A6D">
          <w:rPr>
            <w:rStyle w:val="Hipercze"/>
            <w:sz w:val="24"/>
            <w:szCs w:val="24"/>
          </w:rPr>
          <w:t>www.dolinanoteci.com.pl</w:t>
        </w:r>
      </w:hyperlink>
      <w:r w:rsidR="005964F5">
        <w:rPr>
          <w:color w:val="00B050"/>
          <w:sz w:val="24"/>
          <w:szCs w:val="24"/>
        </w:rPr>
        <w:t xml:space="preserve"> </w:t>
      </w:r>
      <w:r w:rsidRPr="005964F5">
        <w:rPr>
          <w:color w:val="00B05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rsidP="005964F5">
      <w:pPr>
        <w:numPr>
          <w:ilvl w:val="0"/>
          <w:numId w:val="8"/>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rsidP="005964F5">
      <w:pPr>
        <w:spacing w:after="120" w:line="288" w:lineRule="auto"/>
        <w:ind w:left="644"/>
        <w:jc w:val="both"/>
        <w:rPr>
          <w:sz w:val="24"/>
          <w:szCs w:val="24"/>
        </w:rPr>
      </w:pPr>
      <w:r>
        <w:rPr>
          <w:sz w:val="24"/>
          <w:szCs w:val="24"/>
        </w:rPr>
        <w:t>a) termin określony w dniach kończy się z upływem ostatniego dnia,</w:t>
      </w:r>
    </w:p>
    <w:p w14:paraId="529BB4D8" w14:textId="77777777" w:rsidR="002070A9" w:rsidRDefault="00924E40" w:rsidP="005964F5">
      <w:pPr>
        <w:spacing w:after="120" w:line="288" w:lineRule="auto"/>
        <w:ind w:left="644"/>
        <w:jc w:val="both"/>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rsidP="005964F5">
      <w:pPr>
        <w:spacing w:after="120" w:line="288" w:lineRule="auto"/>
        <w:ind w:left="644"/>
        <w:jc w:val="both"/>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4" w:name="_Toc176941417"/>
      <w:r>
        <w:rPr>
          <w:rFonts w:ascii="Calibri" w:eastAsia="Calibri" w:hAnsi="Calibri" w:cs="Calibri"/>
          <w:sz w:val="28"/>
          <w:szCs w:val="28"/>
        </w:rPr>
        <w:t>Typy projektów przewidzianych do wsparcia</w:t>
      </w:r>
      <w:bookmarkEnd w:id="4"/>
    </w:p>
    <w:p w14:paraId="2C97CBEC" w14:textId="77777777" w:rsidR="002070A9" w:rsidRDefault="00924E40" w:rsidP="005964F5">
      <w:pPr>
        <w:numPr>
          <w:ilvl w:val="0"/>
          <w:numId w:val="35"/>
        </w:numPr>
        <w:pBdr>
          <w:top w:val="nil"/>
          <w:left w:val="nil"/>
          <w:bottom w:val="nil"/>
          <w:right w:val="nil"/>
          <w:between w:val="nil"/>
        </w:pBdr>
        <w:spacing w:after="120" w:line="288" w:lineRule="auto"/>
        <w:ind w:left="567" w:hanging="425"/>
        <w:jc w:val="both"/>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4808AE18" w:rsidR="002070A9" w:rsidRDefault="00924E40" w:rsidP="005964F5">
      <w:pPr>
        <w:numPr>
          <w:ilvl w:val="0"/>
          <w:numId w:val="36"/>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lastRenderedPageBreak/>
        <w:t xml:space="preserve">Kultury, </w:t>
      </w:r>
    </w:p>
    <w:p w14:paraId="297A1E22" w14:textId="77777777" w:rsidR="002070A9" w:rsidRDefault="00924E40" w:rsidP="005964F5">
      <w:pPr>
        <w:numPr>
          <w:ilvl w:val="0"/>
          <w:numId w:val="36"/>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Turystyki,</w:t>
      </w:r>
    </w:p>
    <w:p w14:paraId="776BC7ED" w14:textId="4564FDC4" w:rsidR="00CE203A" w:rsidRPr="00B41566" w:rsidRDefault="00BF3527" w:rsidP="000735CB">
      <w:pPr>
        <w:pBdr>
          <w:top w:val="nil"/>
          <w:left w:val="nil"/>
          <w:bottom w:val="nil"/>
          <w:right w:val="nil"/>
          <w:between w:val="nil"/>
        </w:pBdr>
        <w:spacing w:after="120" w:line="288" w:lineRule="auto"/>
        <w:jc w:val="both"/>
        <w:rPr>
          <w:color w:val="000000"/>
          <w:sz w:val="24"/>
          <w:szCs w:val="24"/>
        </w:rPr>
      </w:pPr>
      <w:r w:rsidRPr="00B41566">
        <w:rPr>
          <w:color w:val="000000"/>
          <w:sz w:val="24"/>
          <w:szCs w:val="24"/>
        </w:rPr>
        <w:t>W ramach niniejszego nabory LGD przewiduje realizację  następujących typów projektów zgodnie z LSR:</w:t>
      </w:r>
    </w:p>
    <w:p w14:paraId="1E281A39" w14:textId="75CB000F" w:rsidR="000735CB" w:rsidRPr="00B41566" w:rsidRDefault="000735CB" w:rsidP="00B41566">
      <w:pPr>
        <w:pStyle w:val="Akapitzlist"/>
        <w:numPr>
          <w:ilvl w:val="3"/>
          <w:numId w:val="78"/>
        </w:numPr>
        <w:pBdr>
          <w:top w:val="nil"/>
          <w:left w:val="nil"/>
          <w:bottom w:val="nil"/>
          <w:right w:val="nil"/>
          <w:between w:val="nil"/>
        </w:pBdr>
        <w:spacing w:after="120" w:line="288" w:lineRule="auto"/>
        <w:ind w:left="714" w:hanging="357"/>
        <w:jc w:val="both"/>
        <w:rPr>
          <w:sz w:val="24"/>
          <w:szCs w:val="24"/>
        </w:rPr>
      </w:pPr>
      <w:r w:rsidRPr="00B41566">
        <w:rPr>
          <w:sz w:val="24"/>
          <w:szCs w:val="24"/>
        </w:rPr>
        <w:t>Rozwój infrastruktury turystycznej:</w:t>
      </w:r>
    </w:p>
    <w:p w14:paraId="5294907C" w14:textId="62332045" w:rsidR="000735CB" w:rsidRPr="00B41566" w:rsidRDefault="00A2280D"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sz w:val="24"/>
          <w:szCs w:val="24"/>
        </w:rPr>
        <w:t xml:space="preserve">budowa i </w:t>
      </w:r>
      <w:r w:rsidR="000735CB" w:rsidRPr="00B41566">
        <w:rPr>
          <w:sz w:val="24"/>
          <w:szCs w:val="24"/>
        </w:rPr>
        <w:t xml:space="preserve">modernizacja </w:t>
      </w:r>
      <w:r w:rsidR="00C7477F" w:rsidRPr="00B41566">
        <w:rPr>
          <w:sz w:val="24"/>
          <w:szCs w:val="24"/>
        </w:rPr>
        <w:t xml:space="preserve">publicznych </w:t>
      </w:r>
      <w:r w:rsidR="000735CB" w:rsidRPr="00B41566">
        <w:rPr>
          <w:sz w:val="24"/>
          <w:szCs w:val="24"/>
        </w:rPr>
        <w:t xml:space="preserve">obiektów turystycznych, np.: </w:t>
      </w:r>
      <w:r w:rsidR="000735CB" w:rsidRPr="00B41566">
        <w:rPr>
          <w:rFonts w:asciiTheme="minorHAnsi" w:hAnsiTheme="minorHAnsi" w:cstheme="minorHAnsi"/>
          <w:sz w:val="24"/>
          <w:szCs w:val="24"/>
          <w:shd w:val="clear" w:color="auto" w:fill="FFFFFF"/>
        </w:rPr>
        <w:t>obiektów noclegowych, takich jak schroniska młodzieżowe,</w:t>
      </w:r>
      <w:r w:rsidRPr="00B41566">
        <w:rPr>
          <w:rFonts w:asciiTheme="minorHAnsi" w:hAnsiTheme="minorHAnsi" w:cstheme="minorHAnsi"/>
          <w:sz w:val="24"/>
          <w:szCs w:val="24"/>
          <w:shd w:val="clear" w:color="auto" w:fill="FFFFFF"/>
        </w:rPr>
        <w:t xml:space="preserve"> pensjonaty, kempingi</w:t>
      </w:r>
      <w:r w:rsidR="00C76899" w:rsidRPr="00B41566">
        <w:rPr>
          <w:rFonts w:asciiTheme="minorHAnsi" w:hAnsiTheme="minorHAnsi" w:cstheme="minorHAnsi"/>
          <w:sz w:val="24"/>
          <w:szCs w:val="24"/>
          <w:shd w:val="clear" w:color="auto" w:fill="FFFFFF"/>
        </w:rPr>
        <w:t xml:space="preserve">, </w:t>
      </w:r>
      <w:r w:rsidR="000735CB" w:rsidRPr="00B41566">
        <w:rPr>
          <w:rFonts w:asciiTheme="minorHAnsi" w:hAnsiTheme="minorHAnsi" w:cstheme="minorHAnsi"/>
          <w:sz w:val="24"/>
          <w:szCs w:val="24"/>
          <w:shd w:val="clear" w:color="auto" w:fill="FFFFFF"/>
        </w:rPr>
        <w:t>centra tu</w:t>
      </w:r>
      <w:r w:rsidR="00E003F9" w:rsidRPr="00B41566">
        <w:rPr>
          <w:rFonts w:asciiTheme="minorHAnsi" w:hAnsiTheme="minorHAnsi" w:cstheme="minorHAnsi"/>
          <w:sz w:val="24"/>
          <w:szCs w:val="24"/>
          <w:shd w:val="clear" w:color="auto" w:fill="FFFFFF"/>
        </w:rPr>
        <w:t>rystyczne</w:t>
      </w:r>
      <w:r w:rsidRPr="00B41566">
        <w:rPr>
          <w:rFonts w:asciiTheme="minorHAnsi" w:hAnsiTheme="minorHAnsi" w:cstheme="minorHAnsi"/>
          <w:sz w:val="24"/>
          <w:szCs w:val="24"/>
          <w:shd w:val="clear" w:color="auto" w:fill="FFFFFF"/>
        </w:rPr>
        <w:t>, itp.</w:t>
      </w:r>
      <w:r w:rsidR="00C7477F" w:rsidRPr="00B41566">
        <w:rPr>
          <w:rFonts w:asciiTheme="minorHAnsi" w:hAnsiTheme="minorHAnsi" w:cstheme="minorHAnsi"/>
          <w:sz w:val="24"/>
          <w:szCs w:val="24"/>
          <w:shd w:val="clear" w:color="auto" w:fill="FFFFFF"/>
        </w:rPr>
        <w:t>;</w:t>
      </w:r>
      <w:r w:rsidR="000735CB" w:rsidRPr="00B41566">
        <w:rPr>
          <w:rFonts w:asciiTheme="minorHAnsi" w:hAnsiTheme="minorHAnsi" w:cstheme="minorHAnsi"/>
          <w:sz w:val="24"/>
          <w:szCs w:val="24"/>
          <w:shd w:val="clear" w:color="auto" w:fill="FFFFFF"/>
        </w:rPr>
        <w:t xml:space="preserve"> </w:t>
      </w:r>
    </w:p>
    <w:p w14:paraId="07CE45F3" w14:textId="5D829523" w:rsidR="000735CB" w:rsidRPr="00B41566" w:rsidRDefault="00A2280D"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shd w:val="clear" w:color="auto" w:fill="FFFFFF"/>
        </w:rPr>
        <w:t xml:space="preserve">budowa i </w:t>
      </w:r>
      <w:r w:rsidR="000735CB" w:rsidRPr="00B41566">
        <w:rPr>
          <w:rFonts w:asciiTheme="minorHAnsi" w:hAnsiTheme="minorHAnsi" w:cstheme="minorHAnsi"/>
          <w:sz w:val="24"/>
          <w:szCs w:val="24"/>
          <w:shd w:val="clear" w:color="auto" w:fill="FFFFFF"/>
        </w:rPr>
        <w:t xml:space="preserve">modernizacja </w:t>
      </w:r>
      <w:r w:rsidR="00C7477F" w:rsidRPr="00B41566">
        <w:rPr>
          <w:rFonts w:asciiTheme="minorHAnsi" w:hAnsiTheme="minorHAnsi" w:cstheme="minorHAnsi"/>
          <w:sz w:val="24"/>
          <w:szCs w:val="24"/>
          <w:shd w:val="clear" w:color="auto" w:fill="FFFFFF"/>
        </w:rPr>
        <w:t xml:space="preserve">publicznych </w:t>
      </w:r>
      <w:r w:rsidR="000735CB" w:rsidRPr="00B41566">
        <w:rPr>
          <w:rFonts w:asciiTheme="minorHAnsi" w:hAnsiTheme="minorHAnsi" w:cstheme="minorHAnsi"/>
          <w:sz w:val="24"/>
          <w:szCs w:val="24"/>
          <w:shd w:val="clear" w:color="auto" w:fill="FFFFFF"/>
        </w:rPr>
        <w:t>centrów obsługi turystów oferujących np. mapy, przewodniki usługi informacyjne, czy usługi dodatkowe, np.</w:t>
      </w:r>
      <w:r w:rsidR="00B44294" w:rsidRPr="00B41566">
        <w:rPr>
          <w:rFonts w:asciiTheme="minorHAnsi" w:hAnsiTheme="minorHAnsi" w:cstheme="minorHAnsi"/>
          <w:sz w:val="24"/>
          <w:szCs w:val="24"/>
          <w:shd w:val="clear" w:color="auto" w:fill="FFFFFF"/>
        </w:rPr>
        <w:t xml:space="preserve"> wypożyczalnie sprzętu</w:t>
      </w:r>
      <w:r w:rsidR="00C7477F" w:rsidRPr="00B41566">
        <w:rPr>
          <w:rFonts w:asciiTheme="minorHAnsi" w:hAnsiTheme="minorHAnsi" w:cstheme="minorHAnsi"/>
          <w:sz w:val="24"/>
          <w:szCs w:val="24"/>
          <w:shd w:val="clear" w:color="auto" w:fill="FFFFFF"/>
        </w:rPr>
        <w:t>.</w:t>
      </w:r>
    </w:p>
    <w:p w14:paraId="7705FDB5" w14:textId="26D01E69" w:rsidR="00C51819" w:rsidRPr="00B41566" w:rsidRDefault="00C51819"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shd w:val="clear" w:color="auto" w:fill="FFFFFF"/>
        </w:rPr>
        <w:t xml:space="preserve">budowa i modernizacja obiektów turystycznych, np. muzea, centra wystawiennicze, parki rozrywki, skanseny, obiekty historyczne i zabytkowe. </w:t>
      </w:r>
    </w:p>
    <w:p w14:paraId="77A16408" w14:textId="77777777" w:rsidR="00B41566" w:rsidRPr="00B41566" w:rsidRDefault="00C51819" w:rsidP="00B41566">
      <w:pPr>
        <w:pStyle w:val="Akapitzlist"/>
        <w:numPr>
          <w:ilvl w:val="1"/>
          <w:numId w:val="78"/>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bCs/>
          <w:sz w:val="24"/>
          <w:szCs w:val="24"/>
        </w:rPr>
        <w:t>rewitalizacja i adaptacja przestrzeni publicznej na cele turystyczne</w:t>
      </w:r>
      <w:r w:rsidRPr="00B41566">
        <w:rPr>
          <w:rFonts w:asciiTheme="minorHAnsi" w:hAnsiTheme="minorHAnsi" w:cstheme="minorHAnsi"/>
          <w:sz w:val="24"/>
          <w:szCs w:val="24"/>
        </w:rPr>
        <w:t> – odnowa zaniedbanych przestrzeni miejskich, placów, parków oraz przystosowanie ich do celów turystycznych</w:t>
      </w:r>
    </w:p>
    <w:p w14:paraId="44FC494C" w14:textId="03087C9E" w:rsidR="00B41566" w:rsidRPr="00B41566" w:rsidRDefault="000735CB" w:rsidP="00B41566">
      <w:pPr>
        <w:pStyle w:val="Akapitzlist"/>
        <w:numPr>
          <w:ilvl w:val="0"/>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Rozwój infrastruktury aktywnej:</w:t>
      </w:r>
    </w:p>
    <w:p w14:paraId="1C56C31C" w14:textId="2B94B490"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b</w:t>
      </w:r>
      <w:r w:rsidR="000735CB" w:rsidRPr="00B41566">
        <w:rPr>
          <w:rFonts w:asciiTheme="minorHAnsi" w:hAnsiTheme="minorHAnsi" w:cstheme="minorHAnsi"/>
          <w:sz w:val="24"/>
          <w:szCs w:val="24"/>
        </w:rPr>
        <w:t>udowa i mod</w:t>
      </w:r>
      <w:r w:rsidRPr="00B41566">
        <w:rPr>
          <w:rFonts w:asciiTheme="minorHAnsi" w:hAnsiTheme="minorHAnsi" w:cstheme="minorHAnsi"/>
          <w:sz w:val="24"/>
          <w:szCs w:val="24"/>
        </w:rPr>
        <w:t xml:space="preserve">ernizacja publicznych </w:t>
      </w:r>
      <w:r w:rsidR="00A2280D" w:rsidRPr="00B41566">
        <w:rPr>
          <w:rFonts w:asciiTheme="minorHAnsi" w:hAnsiTheme="minorHAnsi" w:cstheme="minorHAnsi"/>
          <w:sz w:val="24"/>
          <w:szCs w:val="24"/>
        </w:rPr>
        <w:t xml:space="preserve">szlaków turystycznych, </w:t>
      </w:r>
      <w:r w:rsidRPr="00B41566">
        <w:rPr>
          <w:rFonts w:asciiTheme="minorHAnsi" w:hAnsiTheme="minorHAnsi" w:cstheme="minorHAnsi"/>
          <w:sz w:val="24"/>
          <w:szCs w:val="24"/>
        </w:rPr>
        <w:t xml:space="preserve">tj. </w:t>
      </w:r>
      <w:r w:rsidR="00CB094C" w:rsidRPr="00B41566">
        <w:rPr>
          <w:rFonts w:asciiTheme="minorHAnsi" w:hAnsiTheme="minorHAnsi" w:cstheme="minorHAnsi"/>
          <w:sz w:val="24"/>
          <w:szCs w:val="24"/>
        </w:rPr>
        <w:t xml:space="preserve">historycznych,  </w:t>
      </w:r>
      <w:r w:rsidR="00CB094C" w:rsidRPr="00B41566">
        <w:rPr>
          <w:rFonts w:asciiTheme="minorHAnsi" w:hAnsiTheme="minorHAnsi" w:cstheme="minorHAnsi"/>
          <w:sz w:val="24"/>
          <w:szCs w:val="24"/>
        </w:rPr>
        <w:br/>
      </w:r>
      <w:r w:rsidRPr="00B41566">
        <w:rPr>
          <w:rFonts w:asciiTheme="minorHAnsi" w:hAnsiTheme="minorHAnsi" w:cstheme="minorHAnsi"/>
          <w:sz w:val="24"/>
          <w:szCs w:val="24"/>
        </w:rPr>
        <w:t>pieszych,</w:t>
      </w:r>
      <w:r w:rsidR="00C76899" w:rsidRPr="00B41566">
        <w:rPr>
          <w:rFonts w:asciiTheme="minorHAnsi" w:hAnsiTheme="minorHAnsi" w:cstheme="minorHAnsi"/>
          <w:sz w:val="24"/>
          <w:szCs w:val="24"/>
        </w:rPr>
        <w:t xml:space="preserve"> eko-szlaków,</w:t>
      </w:r>
      <w:r w:rsidRPr="00B41566">
        <w:rPr>
          <w:rFonts w:asciiTheme="minorHAnsi" w:hAnsiTheme="minorHAnsi" w:cstheme="minorHAnsi"/>
          <w:sz w:val="24"/>
          <w:szCs w:val="24"/>
        </w:rPr>
        <w:t xml:space="preserve">  rowerowych, </w:t>
      </w:r>
      <w:r w:rsidR="00C76899" w:rsidRPr="00B41566">
        <w:rPr>
          <w:rFonts w:asciiTheme="minorHAnsi" w:hAnsiTheme="minorHAnsi" w:cstheme="minorHAnsi"/>
          <w:sz w:val="24"/>
          <w:szCs w:val="24"/>
        </w:rPr>
        <w:t xml:space="preserve">konnych, </w:t>
      </w:r>
      <w:r w:rsidRPr="00B41566">
        <w:rPr>
          <w:rFonts w:asciiTheme="minorHAnsi" w:hAnsiTheme="minorHAnsi" w:cstheme="minorHAnsi"/>
          <w:sz w:val="24"/>
          <w:szCs w:val="24"/>
        </w:rPr>
        <w:t>wodnych, w tym oznakowanie tras,</w:t>
      </w:r>
    </w:p>
    <w:p w14:paraId="2B6641AA" w14:textId="77777777" w:rsidR="00B41566" w:rsidRPr="00B41566" w:rsidRDefault="00C76899"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budowa </w:t>
      </w:r>
      <w:r w:rsidR="00C7477F" w:rsidRPr="00B41566">
        <w:rPr>
          <w:rFonts w:asciiTheme="minorHAnsi" w:hAnsiTheme="minorHAnsi" w:cstheme="minorHAnsi"/>
          <w:sz w:val="24"/>
          <w:szCs w:val="24"/>
        </w:rPr>
        <w:t>wiat,</w:t>
      </w:r>
      <w:r w:rsidR="00A52729" w:rsidRPr="00B41566">
        <w:rPr>
          <w:rFonts w:asciiTheme="minorHAnsi" w:hAnsiTheme="minorHAnsi" w:cstheme="minorHAnsi"/>
          <w:sz w:val="24"/>
          <w:szCs w:val="24"/>
        </w:rPr>
        <w:t xml:space="preserve"> tężni, </w:t>
      </w:r>
      <w:r w:rsidR="00CB094C" w:rsidRPr="00B41566">
        <w:rPr>
          <w:rFonts w:asciiTheme="minorHAnsi" w:hAnsiTheme="minorHAnsi" w:cstheme="minorHAnsi"/>
          <w:sz w:val="24"/>
          <w:szCs w:val="24"/>
        </w:rPr>
        <w:t>s</w:t>
      </w:r>
      <w:r w:rsidR="00A52729" w:rsidRPr="00B41566">
        <w:rPr>
          <w:rFonts w:asciiTheme="minorHAnsi" w:hAnsiTheme="minorHAnsi" w:cstheme="minorHAnsi"/>
          <w:sz w:val="24"/>
          <w:szCs w:val="24"/>
        </w:rPr>
        <w:t xml:space="preserve">tacji </w:t>
      </w:r>
      <w:r w:rsidR="00C7477F" w:rsidRPr="00B41566">
        <w:rPr>
          <w:rFonts w:asciiTheme="minorHAnsi" w:hAnsiTheme="minorHAnsi" w:cstheme="minorHAnsi"/>
          <w:sz w:val="24"/>
          <w:szCs w:val="24"/>
        </w:rPr>
        <w:t xml:space="preserve">naprawy rowerów, </w:t>
      </w:r>
      <w:r w:rsidR="00A52729" w:rsidRPr="00B41566">
        <w:rPr>
          <w:rFonts w:asciiTheme="minorHAnsi" w:hAnsiTheme="minorHAnsi" w:cstheme="minorHAnsi"/>
          <w:sz w:val="24"/>
          <w:szCs w:val="24"/>
        </w:rPr>
        <w:t>m</w:t>
      </w:r>
      <w:r w:rsidR="00B41566" w:rsidRPr="00B41566">
        <w:rPr>
          <w:rFonts w:asciiTheme="minorHAnsi" w:hAnsiTheme="minorHAnsi" w:cstheme="minorHAnsi"/>
          <w:sz w:val="24"/>
          <w:szCs w:val="24"/>
        </w:rPr>
        <w:t>uszli widowiskowo-koncertowych,</w:t>
      </w:r>
    </w:p>
    <w:p w14:paraId="1685DB48" w14:textId="1C4C21F8" w:rsidR="00B41566" w:rsidRPr="00B41566" w:rsidRDefault="00C76899"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otwartych </w:t>
      </w:r>
      <w:r w:rsidR="00A52729" w:rsidRPr="00B41566">
        <w:rPr>
          <w:rFonts w:asciiTheme="minorHAnsi" w:hAnsiTheme="minorHAnsi" w:cstheme="minorHAnsi"/>
          <w:sz w:val="24"/>
          <w:szCs w:val="24"/>
        </w:rPr>
        <w:t>basenów   kąpielowych</w:t>
      </w:r>
      <w:r w:rsidR="00A2280D" w:rsidRPr="00B41566">
        <w:rPr>
          <w:rFonts w:asciiTheme="minorHAnsi" w:hAnsiTheme="minorHAnsi" w:cstheme="minorHAnsi"/>
          <w:sz w:val="24"/>
          <w:szCs w:val="24"/>
        </w:rPr>
        <w:t>,</w:t>
      </w:r>
      <w:r w:rsidR="00A52729" w:rsidRPr="00B41566">
        <w:rPr>
          <w:rFonts w:asciiTheme="minorHAnsi" w:hAnsiTheme="minorHAnsi" w:cstheme="minorHAnsi"/>
          <w:sz w:val="24"/>
          <w:szCs w:val="24"/>
        </w:rPr>
        <w:t xml:space="preserve"> </w:t>
      </w:r>
      <w:r w:rsidR="00C7477F" w:rsidRPr="00B41566">
        <w:rPr>
          <w:rFonts w:asciiTheme="minorHAnsi" w:hAnsiTheme="minorHAnsi" w:cstheme="minorHAnsi"/>
          <w:sz w:val="24"/>
          <w:szCs w:val="24"/>
        </w:rPr>
        <w:t>małych punktów gastronomicznych i miejsc</w:t>
      </w:r>
      <w:r w:rsidRPr="00B41566">
        <w:rPr>
          <w:rFonts w:asciiTheme="minorHAnsi" w:hAnsiTheme="minorHAnsi" w:cstheme="minorHAnsi"/>
          <w:sz w:val="24"/>
          <w:szCs w:val="24"/>
        </w:rPr>
        <w:br/>
      </w:r>
      <w:r w:rsidR="00C7477F" w:rsidRPr="00B41566">
        <w:rPr>
          <w:rFonts w:asciiTheme="minorHAnsi" w:hAnsiTheme="minorHAnsi" w:cstheme="minorHAnsi"/>
          <w:sz w:val="24"/>
          <w:szCs w:val="24"/>
        </w:rPr>
        <w:t>odpoczynku;</w:t>
      </w:r>
    </w:p>
    <w:p w14:paraId="7863E2A4" w14:textId="77777777"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tworzenie publicznych  obiektów do uprawiania sportów, </w:t>
      </w:r>
      <w:r w:rsidR="00B41566" w:rsidRPr="00B41566">
        <w:rPr>
          <w:rFonts w:asciiTheme="minorHAnsi" w:hAnsiTheme="minorHAnsi" w:cstheme="minorHAnsi"/>
          <w:sz w:val="24"/>
          <w:szCs w:val="24"/>
        </w:rPr>
        <w:t xml:space="preserve">tj. boiska, korty tenisowe, </w:t>
      </w:r>
    </w:p>
    <w:p w14:paraId="609099A5" w14:textId="77777777" w:rsidR="00B41566"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place zabaw, </w:t>
      </w:r>
      <w:r w:rsidR="00B44294" w:rsidRPr="00B41566">
        <w:rPr>
          <w:rFonts w:asciiTheme="minorHAnsi" w:hAnsiTheme="minorHAnsi" w:cstheme="minorHAnsi"/>
          <w:sz w:val="24"/>
          <w:szCs w:val="24"/>
        </w:rPr>
        <w:t>siłownie zewnętrzne,</w:t>
      </w:r>
      <w:r w:rsidR="00CB094C" w:rsidRPr="00B41566">
        <w:rPr>
          <w:rFonts w:asciiTheme="minorHAnsi" w:hAnsiTheme="minorHAnsi" w:cstheme="minorHAnsi"/>
          <w:sz w:val="24"/>
          <w:szCs w:val="24"/>
        </w:rPr>
        <w:t xml:space="preserve"> parki linowe, </w:t>
      </w:r>
      <w:r w:rsidR="00B44294" w:rsidRPr="00B41566">
        <w:rPr>
          <w:rFonts w:asciiTheme="minorHAnsi" w:hAnsiTheme="minorHAnsi" w:cstheme="minorHAnsi"/>
          <w:sz w:val="24"/>
          <w:szCs w:val="24"/>
        </w:rPr>
        <w:t xml:space="preserve"> </w:t>
      </w:r>
      <w:r w:rsidRPr="00B41566">
        <w:rPr>
          <w:rFonts w:asciiTheme="minorHAnsi" w:hAnsiTheme="minorHAnsi" w:cstheme="minorHAnsi"/>
          <w:sz w:val="24"/>
          <w:szCs w:val="24"/>
        </w:rPr>
        <w:t>ścież</w:t>
      </w:r>
      <w:r w:rsidR="00B44294" w:rsidRPr="00B41566">
        <w:rPr>
          <w:rFonts w:asciiTheme="minorHAnsi" w:hAnsiTheme="minorHAnsi" w:cstheme="minorHAnsi"/>
          <w:sz w:val="24"/>
          <w:szCs w:val="24"/>
        </w:rPr>
        <w:t>ki rowerowe</w:t>
      </w:r>
      <w:r w:rsidRPr="00B41566">
        <w:rPr>
          <w:rFonts w:asciiTheme="minorHAnsi" w:hAnsiTheme="minorHAnsi" w:cstheme="minorHAnsi"/>
          <w:sz w:val="24"/>
          <w:szCs w:val="24"/>
        </w:rPr>
        <w:t xml:space="preserve"> oraz</w:t>
      </w:r>
      <w:r w:rsidR="00CB094C" w:rsidRPr="00B41566">
        <w:rPr>
          <w:rFonts w:asciiTheme="minorHAnsi" w:hAnsiTheme="minorHAnsi" w:cstheme="minorHAnsi"/>
          <w:sz w:val="24"/>
          <w:szCs w:val="24"/>
        </w:rPr>
        <w:br/>
        <w:t xml:space="preserve">infrastruktury do </w:t>
      </w:r>
      <w:r w:rsidRPr="00B41566">
        <w:rPr>
          <w:rFonts w:asciiTheme="minorHAnsi" w:hAnsiTheme="minorHAnsi" w:cstheme="minorHAnsi"/>
          <w:sz w:val="24"/>
          <w:szCs w:val="24"/>
        </w:rPr>
        <w:t>sportów wodnych</w:t>
      </w:r>
      <w:r w:rsidR="00B44294" w:rsidRPr="00B41566">
        <w:rPr>
          <w:rFonts w:asciiTheme="minorHAnsi" w:hAnsiTheme="minorHAnsi" w:cstheme="minorHAnsi"/>
          <w:sz w:val="24"/>
          <w:szCs w:val="24"/>
        </w:rPr>
        <w:t xml:space="preserve"> </w:t>
      </w:r>
      <w:r w:rsidRPr="00B41566">
        <w:rPr>
          <w:rFonts w:asciiTheme="minorHAnsi" w:hAnsiTheme="minorHAnsi" w:cstheme="minorHAnsi"/>
          <w:sz w:val="24"/>
          <w:szCs w:val="24"/>
        </w:rPr>
        <w:t xml:space="preserve">– przystanie, </w:t>
      </w:r>
      <w:r w:rsidR="00B44294" w:rsidRPr="00B41566">
        <w:rPr>
          <w:rFonts w:asciiTheme="minorHAnsi" w:hAnsiTheme="minorHAnsi" w:cstheme="minorHAnsi"/>
          <w:sz w:val="24"/>
          <w:szCs w:val="24"/>
        </w:rPr>
        <w:t xml:space="preserve">pomosty, </w:t>
      </w:r>
      <w:r w:rsidRPr="00B41566">
        <w:rPr>
          <w:rFonts w:asciiTheme="minorHAnsi" w:hAnsiTheme="minorHAnsi" w:cstheme="minorHAnsi"/>
          <w:sz w:val="24"/>
          <w:szCs w:val="24"/>
        </w:rPr>
        <w:t>wypożyczalnie</w:t>
      </w:r>
      <w:r w:rsidR="00B44294" w:rsidRPr="00B41566">
        <w:rPr>
          <w:rFonts w:asciiTheme="minorHAnsi" w:hAnsiTheme="minorHAnsi" w:cstheme="minorHAnsi"/>
          <w:sz w:val="24"/>
          <w:szCs w:val="24"/>
        </w:rPr>
        <w:t xml:space="preserve">, w tym, </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oświetlenie</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zaplecza</w:t>
      </w:r>
      <w:r w:rsidR="00CB094C" w:rsidRPr="00B41566">
        <w:rPr>
          <w:rFonts w:asciiTheme="minorHAnsi" w:hAnsiTheme="minorHAnsi" w:cstheme="minorHAnsi"/>
          <w:sz w:val="24"/>
          <w:szCs w:val="24"/>
        </w:rPr>
        <w:t xml:space="preserve"> </w:t>
      </w:r>
      <w:r w:rsidR="00B44294" w:rsidRPr="00B41566">
        <w:rPr>
          <w:rFonts w:asciiTheme="minorHAnsi" w:hAnsiTheme="minorHAnsi" w:cstheme="minorHAnsi"/>
          <w:sz w:val="24"/>
          <w:szCs w:val="24"/>
        </w:rPr>
        <w:t>sanitarne</w:t>
      </w:r>
      <w:r w:rsidRPr="00B41566">
        <w:rPr>
          <w:rFonts w:asciiTheme="minorHAnsi" w:hAnsiTheme="minorHAnsi" w:cstheme="minorHAnsi"/>
          <w:sz w:val="24"/>
          <w:szCs w:val="24"/>
        </w:rPr>
        <w:t>.</w:t>
      </w:r>
    </w:p>
    <w:p w14:paraId="12C3B4CC" w14:textId="77777777" w:rsidR="00B41566" w:rsidRPr="00B41566" w:rsidRDefault="000735CB" w:rsidP="00B41566">
      <w:pPr>
        <w:pStyle w:val="Akapitzlist"/>
        <w:numPr>
          <w:ilvl w:val="0"/>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Zrównoważona turystyka i ochrona środowiska:</w:t>
      </w:r>
    </w:p>
    <w:p w14:paraId="4EDE8F55" w14:textId="324B5BBC" w:rsidR="00C7477F" w:rsidRPr="00B41566" w:rsidRDefault="00C7477F" w:rsidP="00B41566">
      <w:pPr>
        <w:pStyle w:val="Akapitzlist"/>
        <w:numPr>
          <w:ilvl w:val="1"/>
          <w:numId w:val="79"/>
        </w:num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 xml:space="preserve">Ekoturystyka – budowa publicznych szlaków przyrodniczych, </w:t>
      </w:r>
      <w:r w:rsidR="00B41566">
        <w:rPr>
          <w:rFonts w:asciiTheme="minorHAnsi" w:hAnsiTheme="minorHAnsi" w:cstheme="minorHAnsi"/>
          <w:sz w:val="24"/>
          <w:szCs w:val="24"/>
        </w:rPr>
        <w:t>parków tematycznych,</w:t>
      </w:r>
      <w:r w:rsidR="00A2280D" w:rsidRPr="00B41566">
        <w:rPr>
          <w:rFonts w:asciiTheme="minorHAnsi" w:hAnsiTheme="minorHAnsi" w:cstheme="minorHAnsi"/>
          <w:sz w:val="24"/>
          <w:szCs w:val="24"/>
        </w:rPr>
        <w:t xml:space="preserve"> </w:t>
      </w:r>
      <w:r w:rsidRPr="00B41566">
        <w:rPr>
          <w:rFonts w:asciiTheme="minorHAnsi" w:hAnsiTheme="minorHAnsi" w:cstheme="minorHAnsi"/>
          <w:sz w:val="24"/>
          <w:szCs w:val="24"/>
        </w:rPr>
        <w:t>punktów</w:t>
      </w:r>
      <w:r w:rsidR="00A2280D" w:rsidRPr="00B41566">
        <w:rPr>
          <w:rFonts w:asciiTheme="minorHAnsi" w:hAnsiTheme="minorHAnsi" w:cstheme="minorHAnsi"/>
          <w:sz w:val="24"/>
          <w:szCs w:val="24"/>
        </w:rPr>
        <w:t xml:space="preserve"> </w:t>
      </w:r>
      <w:r w:rsidRPr="00B41566">
        <w:rPr>
          <w:rFonts w:asciiTheme="minorHAnsi" w:hAnsiTheme="minorHAnsi" w:cstheme="minorHAnsi"/>
          <w:sz w:val="24"/>
          <w:szCs w:val="24"/>
        </w:rPr>
        <w:t>widokowych i platform obserwacy</w:t>
      </w:r>
      <w:r w:rsidR="00B41566" w:rsidRPr="00B41566">
        <w:rPr>
          <w:rFonts w:asciiTheme="minorHAnsi" w:hAnsiTheme="minorHAnsi" w:cstheme="minorHAnsi"/>
          <w:sz w:val="24"/>
          <w:szCs w:val="24"/>
        </w:rPr>
        <w:t>jnych oraz ścieżek edukacyjnych.</w:t>
      </w:r>
    </w:p>
    <w:p w14:paraId="192B73BE" w14:textId="4E59A280" w:rsidR="00C51819" w:rsidRPr="00B41566" w:rsidRDefault="00C51819" w:rsidP="00C51819">
      <w:pPr>
        <w:pBdr>
          <w:top w:val="nil"/>
          <w:left w:val="nil"/>
          <w:bottom w:val="nil"/>
          <w:right w:val="nil"/>
          <w:between w:val="nil"/>
        </w:pBdr>
        <w:spacing w:after="120" w:line="288" w:lineRule="auto"/>
        <w:jc w:val="both"/>
        <w:rPr>
          <w:rFonts w:asciiTheme="minorHAnsi" w:hAnsiTheme="minorHAnsi" w:cstheme="minorHAnsi"/>
          <w:sz w:val="24"/>
          <w:szCs w:val="24"/>
        </w:rPr>
      </w:pPr>
      <w:r w:rsidRPr="00B41566">
        <w:rPr>
          <w:rFonts w:asciiTheme="minorHAnsi" w:hAnsiTheme="minorHAnsi" w:cstheme="minorHAnsi"/>
          <w:sz w:val="24"/>
          <w:szCs w:val="24"/>
        </w:rPr>
        <w:t>Celem takich projektów jest zwiększenie dostępności turystyki i poprawa jakości usług.</w:t>
      </w:r>
    </w:p>
    <w:p w14:paraId="03199F3A" w14:textId="493016BF" w:rsidR="000735CB" w:rsidRPr="000735CB" w:rsidRDefault="000735CB" w:rsidP="000735CB">
      <w:pPr>
        <w:pStyle w:val="Akapitzlist"/>
        <w:pBdr>
          <w:top w:val="nil"/>
          <w:left w:val="nil"/>
          <w:bottom w:val="nil"/>
          <w:right w:val="nil"/>
          <w:between w:val="nil"/>
        </w:pBdr>
        <w:spacing w:after="120" w:line="288" w:lineRule="auto"/>
        <w:ind w:left="426"/>
        <w:jc w:val="both"/>
        <w:rPr>
          <w:rFonts w:asciiTheme="minorHAnsi" w:hAnsiTheme="minorHAnsi" w:cstheme="minorHAnsi"/>
          <w:color w:val="00B050"/>
          <w:sz w:val="24"/>
          <w:szCs w:val="24"/>
        </w:rPr>
      </w:pPr>
    </w:p>
    <w:p w14:paraId="7CE1CAF3" w14:textId="7B20E6D0" w:rsidR="00951FF8" w:rsidRDefault="00924E40" w:rsidP="005964F5">
      <w:pPr>
        <w:spacing w:after="120" w:line="288" w:lineRule="auto"/>
        <w:jc w:val="both"/>
        <w:rPr>
          <w:sz w:val="24"/>
          <w:szCs w:val="24"/>
          <w:u w:val="single"/>
        </w:rPr>
      </w:pPr>
      <w:r>
        <w:rPr>
          <w:sz w:val="24"/>
          <w:szCs w:val="24"/>
        </w:rPr>
        <w:t xml:space="preserve">Szczegółowe wymagania dla powyższych zakresów wsparcia są analogiczne jak </w:t>
      </w:r>
      <w:r w:rsidR="005964F5">
        <w:rPr>
          <w:sz w:val="24"/>
          <w:szCs w:val="24"/>
        </w:rPr>
        <w:br/>
      </w:r>
      <w:r>
        <w:rPr>
          <w:sz w:val="24"/>
          <w:szCs w:val="24"/>
        </w:rPr>
        <w:t xml:space="preserve">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FD1393">
      <w:pPr>
        <w:pStyle w:val="Akapitzlist"/>
        <w:numPr>
          <w:ilvl w:val="0"/>
          <w:numId w:val="74"/>
        </w:numPr>
        <w:spacing w:after="120" w:line="288" w:lineRule="auto"/>
        <w:jc w:val="both"/>
        <w:rPr>
          <w:sz w:val="24"/>
          <w:szCs w:val="24"/>
        </w:rPr>
      </w:pPr>
      <w:r w:rsidRPr="00E36C4D">
        <w:rPr>
          <w:sz w:val="24"/>
          <w:szCs w:val="24"/>
        </w:rPr>
        <w:lastRenderedPageBreak/>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ex-ante, oraz świadectwa charakterystyki energetycznej ex-ante.</w:t>
      </w:r>
    </w:p>
    <w:p w14:paraId="48AE0B9E" w14:textId="77777777" w:rsidR="00D908FD" w:rsidRPr="00E36C4D" w:rsidRDefault="000D0EFE" w:rsidP="00FD1393">
      <w:pPr>
        <w:pStyle w:val="Akapitzlist"/>
        <w:numPr>
          <w:ilvl w:val="0"/>
          <w:numId w:val="73"/>
        </w:numPr>
        <w:spacing w:after="120" w:line="288" w:lineRule="auto"/>
        <w:ind w:left="720"/>
        <w:contextualSpacing w:val="0"/>
        <w:jc w:val="both"/>
        <w:rPr>
          <w:color w:val="000000"/>
          <w:sz w:val="24"/>
          <w:szCs w:val="24"/>
        </w:rPr>
      </w:pPr>
      <w:r w:rsidRPr="00E36C4D">
        <w:rPr>
          <w:color w:val="000000"/>
          <w:sz w:val="24"/>
          <w:szCs w:val="24"/>
        </w:rPr>
        <w:t xml:space="preserve">Identyfikacja optymalnego zestawu działań zwiększających efektywność energetyczną danego budynku winna wynikać z przeprowadzonego audytu energetycznego ex-ante. </w:t>
      </w:r>
    </w:p>
    <w:p w14:paraId="58008E2E" w14:textId="77777777" w:rsidR="00EA1A23" w:rsidRPr="00E36C4D" w:rsidRDefault="00EA1A23" w:rsidP="00FD1393">
      <w:pPr>
        <w:pStyle w:val="Akapitzlist"/>
        <w:numPr>
          <w:ilvl w:val="0"/>
          <w:numId w:val="73"/>
        </w:numPr>
        <w:spacing w:after="120" w:line="288" w:lineRule="auto"/>
        <w:ind w:left="720"/>
        <w:contextualSpacing w:val="0"/>
        <w:jc w:val="both"/>
        <w:rPr>
          <w:color w:val="000000"/>
          <w:sz w:val="24"/>
          <w:szCs w:val="24"/>
        </w:rPr>
      </w:pPr>
      <w:r w:rsidRPr="00E36C4D">
        <w:rPr>
          <w:sz w:val="24"/>
          <w:szCs w:val="24"/>
        </w:rPr>
        <w:t xml:space="preserve">Audyt energetyczny (ex-ante),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3843A53C"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 xml:space="preserve">dla budynków wymagających uzyskania pozwolenia na budowę, bądź dokonania zgłoszenia robót budowlanych, audyt energetyczny musi być zgodny z obowiązującymi przepisami prawa na moment składania wniosku </w:t>
      </w:r>
      <w:r w:rsidR="005964F5">
        <w:rPr>
          <w:sz w:val="24"/>
          <w:szCs w:val="24"/>
        </w:rPr>
        <w:br/>
      </w:r>
      <w:r w:rsidRPr="00E36C4D">
        <w:rPr>
          <w:sz w:val="24"/>
          <w:szCs w:val="24"/>
        </w:rPr>
        <w:t>o pozwolenie na budowę, bądź dokonania zgłoszenia robót budowlanych,</w:t>
      </w:r>
    </w:p>
    <w:p w14:paraId="5303D42E" w14:textId="77777777"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FD1393">
      <w:pPr>
        <w:pStyle w:val="Akapitzlist"/>
        <w:numPr>
          <w:ilvl w:val="1"/>
          <w:numId w:val="73"/>
        </w:numPr>
        <w:spacing w:after="120" w:line="288" w:lineRule="auto"/>
        <w:jc w:val="both"/>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FD1393">
      <w:pPr>
        <w:pStyle w:val="Akapitzlist"/>
        <w:numPr>
          <w:ilvl w:val="1"/>
          <w:numId w:val="73"/>
        </w:numPr>
        <w:spacing w:after="120" w:line="288" w:lineRule="auto"/>
        <w:contextualSpacing w:val="0"/>
        <w:jc w:val="both"/>
        <w:rPr>
          <w:color w:val="000000"/>
          <w:sz w:val="24"/>
          <w:szCs w:val="24"/>
        </w:rPr>
      </w:pPr>
      <w:r w:rsidRPr="00E36C4D">
        <w:rPr>
          <w:sz w:val="24"/>
          <w:szCs w:val="24"/>
        </w:rPr>
        <w:t xml:space="preserve">We wszystkich powyższych przypadkach audyt energetyczny (ex-ante)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FD1393">
      <w:pPr>
        <w:pStyle w:val="Akapitzlist"/>
        <w:numPr>
          <w:ilvl w:val="0"/>
          <w:numId w:val="73"/>
        </w:numPr>
        <w:spacing w:after="120" w:line="288" w:lineRule="auto"/>
        <w:ind w:left="709"/>
        <w:contextualSpacing w:val="0"/>
        <w:jc w:val="both"/>
        <w:rPr>
          <w:color w:val="000000"/>
          <w:sz w:val="24"/>
          <w:szCs w:val="24"/>
        </w:rPr>
      </w:pPr>
      <w:r w:rsidRPr="00E36C4D">
        <w:rPr>
          <w:color w:val="000000"/>
          <w:sz w:val="24"/>
          <w:szCs w:val="24"/>
        </w:rPr>
        <w:t>Ponadto Wnioskodawca zobowiązany jest do przedstawienia ekspertyzy ornitologicznej wraz z ekspertyzą chiropterologiczną.</w:t>
      </w:r>
    </w:p>
    <w:p w14:paraId="013A4494" w14:textId="77777777" w:rsidR="00EA1A23" w:rsidRPr="00E36C4D" w:rsidRDefault="00EA1A23" w:rsidP="00FD1393">
      <w:pPr>
        <w:pStyle w:val="Akapitzlist"/>
        <w:numPr>
          <w:ilvl w:val="0"/>
          <w:numId w:val="73"/>
        </w:numPr>
        <w:spacing w:after="120" w:line="288" w:lineRule="auto"/>
        <w:ind w:left="709"/>
        <w:contextualSpacing w:val="0"/>
        <w:jc w:val="both"/>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FD1393">
      <w:pPr>
        <w:pStyle w:val="Akapitzlist"/>
        <w:numPr>
          <w:ilvl w:val="0"/>
          <w:numId w:val="75"/>
        </w:numPr>
        <w:spacing w:after="120" w:line="288" w:lineRule="auto"/>
        <w:jc w:val="both"/>
        <w:rPr>
          <w:color w:val="000000"/>
          <w:sz w:val="24"/>
          <w:szCs w:val="24"/>
        </w:rPr>
      </w:pPr>
      <w:r w:rsidRPr="00E251C9">
        <w:rPr>
          <w:color w:val="000000"/>
          <w:sz w:val="24"/>
          <w:szCs w:val="24"/>
        </w:rPr>
        <w:t xml:space="preserve">Szczegółowe informacje dotyczące wszystkich zakresów wsparcia: </w:t>
      </w:r>
    </w:p>
    <w:p w14:paraId="5C51AF3A" w14:textId="53C3D09D"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r>
      <w:r>
        <w:rPr>
          <w:color w:val="000000"/>
          <w:sz w:val="24"/>
          <w:szCs w:val="24"/>
        </w:rPr>
        <w:lastRenderedPageBreak/>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 xml:space="preserve">, </w:t>
      </w:r>
      <w:r w:rsidR="00673C7A" w:rsidRPr="00B41566">
        <w:rPr>
          <w:sz w:val="24"/>
          <w:szCs w:val="24"/>
        </w:rPr>
        <w:t>turystyki</w:t>
      </w:r>
      <w:r w:rsidR="000675CD" w:rsidRPr="00B41566">
        <w:rPr>
          <w:sz w:val="24"/>
          <w:szCs w:val="24"/>
        </w:rPr>
        <w:t xml:space="preserve"> </w:t>
      </w:r>
      <w:r w:rsidR="000675CD" w:rsidRPr="00E36C4D">
        <w:rPr>
          <w:color w:val="000000"/>
          <w:sz w:val="24"/>
          <w:szCs w:val="24"/>
        </w:rPr>
        <w:t xml:space="preserve">i </w:t>
      </w:r>
      <w:r w:rsidRPr="00E36C4D">
        <w:rPr>
          <w:color w:val="000000"/>
          <w:sz w:val="24"/>
          <w:szCs w:val="24"/>
        </w:rPr>
        <w:t xml:space="preserve">odnowy wsi muszą być komplementarne </w:t>
      </w:r>
      <w:r w:rsidR="005964F5">
        <w:rPr>
          <w:color w:val="000000"/>
          <w:sz w:val="24"/>
          <w:szCs w:val="24"/>
        </w:rPr>
        <w:br/>
      </w:r>
      <w:r w:rsidRPr="00E36C4D">
        <w:rPr>
          <w:color w:val="000000"/>
          <w:sz w:val="24"/>
          <w:szCs w:val="24"/>
        </w:rPr>
        <w:t>z działaniami spełniającymi cele EFS+, a każde działanie inwestycyjne w tym obszarze wsparcia musi spełniać cele społeczne,</w:t>
      </w:r>
    </w:p>
    <w:p w14:paraId="44BC383F" w14:textId="77777777"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63808038"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E36C4D">
        <w:rPr>
          <w:color w:val="000000"/>
          <w:sz w:val="24"/>
          <w:szCs w:val="24"/>
        </w:rPr>
        <w:t xml:space="preserve">każda inwestycja infrastrukturalna musi spełniać wymogi dostępności zgodnie </w:t>
      </w:r>
      <w:r w:rsidR="005964F5">
        <w:rPr>
          <w:color w:val="000000"/>
          <w:sz w:val="24"/>
          <w:szCs w:val="24"/>
        </w:rPr>
        <w:br/>
      </w:r>
      <w:r w:rsidRPr="00E36C4D">
        <w:rPr>
          <w:color w:val="000000"/>
          <w:sz w:val="24"/>
          <w:szCs w:val="24"/>
        </w:rPr>
        <w:t>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1EBA133B"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należy zwrócić szczególną uwagę na zachowanie i rozwój zielonej infrastruktury, </w:t>
      </w:r>
      <w:r w:rsidR="005964F5">
        <w:rPr>
          <w:color w:val="000000"/>
          <w:sz w:val="24"/>
          <w:szCs w:val="24"/>
        </w:rPr>
        <w:br/>
      </w:r>
      <w:r>
        <w:rPr>
          <w:color w:val="000000"/>
          <w:sz w:val="24"/>
          <w:szCs w:val="24"/>
        </w:rPr>
        <w:t>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podczas realizacji przedsięwzięć związanych z: odnową wsi, kulturą i turystyką beneficjenci będą dążyć do zgodności z koncepcją Nowego Europejskiego Bauhausu,</w:t>
      </w:r>
    </w:p>
    <w:p w14:paraId="530F575F"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4D7BBACC"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t>
      </w:r>
      <w:r w:rsidR="005964F5">
        <w:rPr>
          <w:color w:val="000000"/>
          <w:sz w:val="24"/>
          <w:szCs w:val="24"/>
        </w:rPr>
        <w:br/>
      </w:r>
      <w:r>
        <w:rPr>
          <w:color w:val="000000"/>
          <w:sz w:val="24"/>
          <w:szCs w:val="24"/>
        </w:rPr>
        <w:t xml:space="preserve">w uzasadnionych przypadkach oraz przy założeniu, że będzie to najbardziej opłacalne dla projektu. </w:t>
      </w:r>
      <w:r w:rsidR="002D203A" w:rsidRPr="00DC461D">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19BB5BAB" w:rsidR="003D3F44" w:rsidRDefault="003D3F44"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lastRenderedPageBreak/>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Significant Harm),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realiz</w:t>
      </w:r>
      <w:r w:rsidR="00B41566">
        <w:rPr>
          <w:color w:val="000000"/>
          <w:sz w:val="24"/>
          <w:szCs w:val="24"/>
        </w:rPr>
        <w:t>a</w:t>
      </w:r>
      <w:r>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5964F5">
      <w:pPr>
        <w:numPr>
          <w:ilvl w:val="0"/>
          <w:numId w:val="26"/>
        </w:numPr>
        <w:pBdr>
          <w:top w:val="nil"/>
          <w:left w:val="nil"/>
          <w:bottom w:val="nil"/>
          <w:right w:val="nil"/>
          <w:between w:val="nil"/>
        </w:pBdr>
        <w:spacing w:after="120" w:line="288" w:lineRule="auto"/>
        <w:ind w:left="709"/>
        <w:jc w:val="both"/>
        <w:rPr>
          <w:color w:val="000000"/>
          <w:sz w:val="24"/>
          <w:szCs w:val="24"/>
        </w:rPr>
      </w:pPr>
      <w:r>
        <w:rPr>
          <w:color w:val="000000"/>
          <w:sz w:val="24"/>
          <w:szCs w:val="24"/>
        </w:rPr>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5964F5">
      <w:pPr>
        <w:numPr>
          <w:ilvl w:val="0"/>
          <w:numId w:val="26"/>
        </w:numPr>
        <w:pBdr>
          <w:top w:val="nil"/>
          <w:left w:val="nil"/>
          <w:bottom w:val="nil"/>
          <w:right w:val="nil"/>
          <w:between w:val="nil"/>
        </w:pBdr>
        <w:spacing w:after="120" w:line="288" w:lineRule="auto"/>
        <w:ind w:left="709"/>
        <w:jc w:val="both"/>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5" w:name="_Toc176941418"/>
      <w:r>
        <w:rPr>
          <w:rFonts w:ascii="Calibri" w:eastAsia="Calibri" w:hAnsi="Calibri" w:cs="Calibri"/>
          <w:sz w:val="28"/>
          <w:szCs w:val="28"/>
        </w:rPr>
        <w:t>Podmioty uprawnione do ubiegania się o wsparcie</w:t>
      </w:r>
      <w:bookmarkEnd w:id="5"/>
    </w:p>
    <w:p w14:paraId="6A638B7D" w14:textId="77777777" w:rsidR="002070A9" w:rsidRDefault="00D45897" w:rsidP="005964F5">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Jednostki Samorządu Terytorialnego,</w:t>
      </w:r>
    </w:p>
    <w:p w14:paraId="62A253D5"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kościoły i związki wyznaniowe,</w:t>
      </w:r>
    </w:p>
    <w:p w14:paraId="562B6830"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organizacje pozarządowe,</w:t>
      </w:r>
    </w:p>
    <w:p w14:paraId="5A48CC88" w14:textId="77777777" w:rsidR="002070A9" w:rsidRDefault="00924E40" w:rsidP="005964F5">
      <w:pPr>
        <w:numPr>
          <w:ilvl w:val="0"/>
          <w:numId w:val="4"/>
        </w:numPr>
        <w:pBdr>
          <w:top w:val="nil"/>
          <w:left w:val="nil"/>
          <w:bottom w:val="nil"/>
          <w:right w:val="nil"/>
          <w:between w:val="nil"/>
        </w:pBdr>
        <w:spacing w:after="120" w:line="288" w:lineRule="auto"/>
        <w:jc w:val="both"/>
        <w:rPr>
          <w:color w:val="000000"/>
          <w:sz w:val="24"/>
          <w:szCs w:val="24"/>
        </w:rPr>
      </w:pPr>
      <w:r>
        <w:rPr>
          <w:color w:val="000000"/>
          <w:sz w:val="24"/>
          <w:szCs w:val="24"/>
        </w:rPr>
        <w:t>podmioty ekonomii społecznej.</w:t>
      </w:r>
    </w:p>
    <w:p w14:paraId="3D35A076" w14:textId="1E08AA58" w:rsidR="002070A9" w:rsidRDefault="00924E40" w:rsidP="005964F5">
      <w:pPr>
        <w:spacing w:after="120" w:line="288" w:lineRule="auto"/>
        <w:ind w:left="360"/>
        <w:jc w:val="both"/>
        <w:rPr>
          <w:sz w:val="24"/>
          <w:szCs w:val="24"/>
        </w:rPr>
      </w:pPr>
      <w:r>
        <w:rPr>
          <w:sz w:val="24"/>
          <w:szCs w:val="24"/>
        </w:rPr>
        <w:t xml:space="preserve">Wskazane podmioty muszą być zgodne z SZOP i szczególnym katalogiem wynikającym </w:t>
      </w:r>
      <w:r w:rsidR="005964F5">
        <w:rPr>
          <w:sz w:val="24"/>
          <w:szCs w:val="24"/>
        </w:rPr>
        <w:br/>
      </w:r>
      <w:r>
        <w:rPr>
          <w:sz w:val="24"/>
          <w:szCs w:val="24"/>
        </w:rPr>
        <w:t xml:space="preserve">z LSR danej LGD. </w:t>
      </w:r>
    </w:p>
    <w:p w14:paraId="1B3E2C28" w14:textId="77777777" w:rsidR="002070A9" w:rsidRDefault="00924E40" w:rsidP="005964F5">
      <w:pPr>
        <w:numPr>
          <w:ilvl w:val="0"/>
          <w:numId w:val="56"/>
        </w:numPr>
        <w:pBdr>
          <w:top w:val="nil"/>
          <w:left w:val="nil"/>
          <w:bottom w:val="nil"/>
          <w:right w:val="nil"/>
          <w:between w:val="nil"/>
        </w:pBdr>
        <w:jc w:val="both"/>
        <w:rPr>
          <w:color w:val="000000"/>
          <w:sz w:val="24"/>
          <w:szCs w:val="24"/>
        </w:rPr>
      </w:pPr>
      <w:r>
        <w:rPr>
          <w:color w:val="000000"/>
          <w:sz w:val="24"/>
          <w:szCs w:val="24"/>
        </w:rPr>
        <w:lastRenderedPageBreak/>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6" w:name="_Toc176941419"/>
      <w:r>
        <w:rPr>
          <w:rFonts w:ascii="Calibri" w:eastAsia="Calibri" w:hAnsi="Calibri" w:cs="Calibri"/>
          <w:sz w:val="28"/>
          <w:szCs w:val="28"/>
        </w:rPr>
        <w:t>Okres trwania naboru</w:t>
      </w:r>
      <w:bookmarkEnd w:id="6"/>
    </w:p>
    <w:p w14:paraId="5A19B727" w14:textId="77777777"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1D09DA4E"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Przygotowywanie wniosków w LSI 2021+ możliwe jest od dnia ogłoszenia naboru, </w:t>
      </w:r>
      <w:r w:rsidR="005964F5">
        <w:rPr>
          <w:color w:val="000000"/>
          <w:sz w:val="24"/>
          <w:szCs w:val="24"/>
        </w:rPr>
        <w:br/>
      </w:r>
      <w:r>
        <w:rPr>
          <w:color w:val="000000"/>
          <w:sz w:val="24"/>
          <w:szCs w:val="24"/>
        </w:rPr>
        <w:t>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rsidP="005964F5">
      <w:pPr>
        <w:numPr>
          <w:ilvl w:val="0"/>
          <w:numId w:val="6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Nie przewiduje się możliwości skrócenia naboru wniosków.</w:t>
      </w:r>
    </w:p>
    <w:p w14:paraId="64AD3BA7"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7" w:name="_Toc176941420"/>
      <w:r>
        <w:rPr>
          <w:rFonts w:ascii="Calibri" w:eastAsia="Calibri" w:hAnsi="Calibri" w:cs="Calibri"/>
          <w:sz w:val="28"/>
          <w:szCs w:val="28"/>
        </w:rPr>
        <w:t>Okres realizacji projektu</w:t>
      </w:r>
      <w:bookmarkEnd w:id="7"/>
    </w:p>
    <w:p w14:paraId="64D6617D"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rsidP="005964F5">
      <w:pPr>
        <w:numPr>
          <w:ilvl w:val="0"/>
          <w:numId w:val="6"/>
        </w:numPr>
        <w:pBdr>
          <w:top w:val="nil"/>
          <w:left w:val="nil"/>
          <w:bottom w:val="nil"/>
          <w:right w:val="nil"/>
          <w:between w:val="nil"/>
        </w:pBdr>
        <w:spacing w:after="120" w:line="288" w:lineRule="auto"/>
        <w:ind w:left="567" w:hanging="425"/>
        <w:jc w:val="both"/>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8"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8"/>
    </w:p>
    <w:p w14:paraId="45526E64" w14:textId="77777777" w:rsidR="002070A9" w:rsidRDefault="00924E40" w:rsidP="005964F5">
      <w:pPr>
        <w:numPr>
          <w:ilvl w:val="0"/>
          <w:numId w:val="1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 dofinansowanie nie mogą ubiegać się:  </w:t>
      </w:r>
    </w:p>
    <w:p w14:paraId="0661C1FB"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15FCC478"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wobec których orzeczono zakaz dostępu do środków, o których mowa </w:t>
      </w:r>
      <w:r w:rsidR="005964F5">
        <w:rPr>
          <w:color w:val="000000"/>
          <w:sz w:val="24"/>
          <w:szCs w:val="24"/>
        </w:rPr>
        <w:br/>
      </w:r>
      <w:r>
        <w:rPr>
          <w:color w:val="000000"/>
          <w:sz w:val="24"/>
          <w:szCs w:val="24"/>
        </w:rPr>
        <w:t>w artykule 5 ustęp 3 punkt 1 i 4 Ustawy o finansach publicznych, w przypadku skazania za przestępstwo, o którym mowa w artykule 9 lub artykule 10 Ustawy o cudzoziemcach,</w:t>
      </w:r>
    </w:p>
    <w:p w14:paraId="687E34F0"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lastRenderedPageBreak/>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rsidP="005964F5">
      <w:pPr>
        <w:numPr>
          <w:ilvl w:val="0"/>
          <w:numId w:val="1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rsidP="005964F5">
      <w:pPr>
        <w:numPr>
          <w:ilvl w:val="0"/>
          <w:numId w:val="16"/>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Dofinansowaniem w ramach naboru nie może być objęty:</w:t>
      </w:r>
    </w:p>
    <w:p w14:paraId="7CCFA1DE" w14:textId="77777777" w:rsidR="002070A9" w:rsidRDefault="00924E40" w:rsidP="005964F5">
      <w:pPr>
        <w:numPr>
          <w:ilvl w:val="0"/>
          <w:numId w:val="14"/>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rsidP="005964F5">
      <w:pPr>
        <w:numPr>
          <w:ilvl w:val="0"/>
          <w:numId w:val="14"/>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26C07C5A" w:rsidR="002070A9" w:rsidRDefault="00924E40" w:rsidP="005964F5">
      <w:pPr>
        <w:spacing w:after="120" w:line="288" w:lineRule="auto"/>
        <w:ind w:left="284"/>
        <w:jc w:val="both"/>
        <w:rPr>
          <w:color w:val="000000"/>
          <w:sz w:val="24"/>
          <w:szCs w:val="24"/>
        </w:rPr>
      </w:pPr>
      <w:r>
        <w:rPr>
          <w:color w:val="000000"/>
          <w:sz w:val="24"/>
          <w:szCs w:val="24"/>
        </w:rPr>
        <w:t xml:space="preserve">3. Wykluczone z możliwości ubiegania się o wsparcie są również przedsięwzięcia </w:t>
      </w:r>
      <w:r w:rsidR="005964F5">
        <w:rPr>
          <w:color w:val="000000"/>
          <w:sz w:val="24"/>
          <w:szCs w:val="24"/>
        </w:rPr>
        <w:br/>
      </w:r>
      <w:r>
        <w:rPr>
          <w:color w:val="000000"/>
          <w:sz w:val="24"/>
          <w:szCs w:val="24"/>
        </w:rPr>
        <w:t xml:space="preserve">i podmioty: </w:t>
      </w:r>
    </w:p>
    <w:p w14:paraId="6B926915" w14:textId="77777777" w:rsidR="002070A9" w:rsidRDefault="00924E40" w:rsidP="005964F5">
      <w:pPr>
        <w:numPr>
          <w:ilvl w:val="0"/>
          <w:numId w:val="15"/>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wykluczone zgodnie z zapisami Rozporządzenia 2023/2831, </w:t>
      </w:r>
    </w:p>
    <w:p w14:paraId="6AD646C8" w14:textId="77777777" w:rsidR="002070A9" w:rsidRDefault="00924E40" w:rsidP="005964F5">
      <w:pPr>
        <w:numPr>
          <w:ilvl w:val="0"/>
          <w:numId w:val="15"/>
        </w:numPr>
        <w:pBdr>
          <w:top w:val="nil"/>
          <w:left w:val="nil"/>
          <w:bottom w:val="nil"/>
          <w:right w:val="nil"/>
          <w:between w:val="nil"/>
        </w:pBdr>
        <w:spacing w:after="120" w:line="288" w:lineRule="auto"/>
        <w:ind w:left="709"/>
        <w:jc w:val="both"/>
        <w:rPr>
          <w:color w:val="000000"/>
          <w:sz w:val="24"/>
          <w:szCs w:val="24"/>
        </w:rPr>
      </w:pPr>
      <w:r>
        <w:rPr>
          <w:color w:val="000000"/>
          <w:sz w:val="24"/>
          <w:szCs w:val="24"/>
        </w:rPr>
        <w:t>wykluczone zgodnie z zapisami Rozporządzenia EFRR i FS.</w:t>
      </w:r>
    </w:p>
    <w:p w14:paraId="3966661C" w14:textId="77777777" w:rsidR="002070A9" w:rsidRDefault="00924E40" w:rsidP="005964F5">
      <w:pPr>
        <w:pStyle w:val="Nagwek2"/>
        <w:numPr>
          <w:ilvl w:val="0"/>
          <w:numId w:val="62"/>
        </w:numPr>
        <w:spacing w:before="240" w:after="120"/>
        <w:ind w:left="284" w:hanging="284"/>
        <w:jc w:val="both"/>
        <w:rPr>
          <w:rFonts w:ascii="Calibri" w:eastAsia="Calibri" w:hAnsi="Calibri" w:cs="Calibri"/>
          <w:sz w:val="28"/>
          <w:szCs w:val="28"/>
        </w:rPr>
      </w:pPr>
      <w:bookmarkStart w:id="9" w:name="_Toc176941422"/>
      <w:r>
        <w:rPr>
          <w:rFonts w:ascii="Calibri" w:eastAsia="Calibri" w:hAnsi="Calibri" w:cs="Calibri"/>
          <w:sz w:val="28"/>
          <w:szCs w:val="28"/>
        </w:rPr>
        <w:t>Wartości oraz intensywność wsparcia</w:t>
      </w:r>
      <w:bookmarkEnd w:id="9"/>
    </w:p>
    <w:p w14:paraId="286818F7" w14:textId="28ABF2B5" w:rsidR="002070A9" w:rsidRPr="005E5544" w:rsidRDefault="00924E40" w:rsidP="005964F5">
      <w:pPr>
        <w:numPr>
          <w:ilvl w:val="0"/>
          <w:numId w:val="61"/>
        </w:numPr>
        <w:pBdr>
          <w:top w:val="nil"/>
          <w:left w:val="nil"/>
          <w:bottom w:val="nil"/>
          <w:right w:val="nil"/>
          <w:between w:val="nil"/>
        </w:pBdr>
        <w:spacing w:after="120" w:line="288" w:lineRule="auto"/>
        <w:ind w:hanging="360"/>
        <w:jc w:val="both"/>
        <w:rPr>
          <w:sz w:val="24"/>
          <w:szCs w:val="24"/>
        </w:rPr>
      </w:pPr>
      <w:r w:rsidRPr="005E5544">
        <w:rPr>
          <w:sz w:val="24"/>
          <w:szCs w:val="24"/>
        </w:rPr>
        <w:t xml:space="preserve">Kwota przeznaczona na dofinansowanie projektów w ramach naboru wynosi </w:t>
      </w:r>
      <w:r w:rsidR="005964F5" w:rsidRPr="005E5544">
        <w:rPr>
          <w:b/>
          <w:sz w:val="24"/>
          <w:szCs w:val="24"/>
        </w:rPr>
        <w:t>1 </w:t>
      </w:r>
      <w:r w:rsidR="005E5544" w:rsidRPr="005E5544">
        <w:rPr>
          <w:b/>
          <w:sz w:val="24"/>
          <w:szCs w:val="24"/>
        </w:rPr>
        <w:t>484 662</w:t>
      </w:r>
      <w:r w:rsidR="005964F5" w:rsidRPr="005E5544">
        <w:rPr>
          <w:b/>
          <w:sz w:val="24"/>
          <w:szCs w:val="24"/>
        </w:rPr>
        <w:t>,</w:t>
      </w:r>
      <w:r w:rsidR="005E5544" w:rsidRPr="005E5544">
        <w:rPr>
          <w:b/>
          <w:sz w:val="24"/>
          <w:szCs w:val="24"/>
        </w:rPr>
        <w:t>5</w:t>
      </w:r>
      <w:r w:rsidR="005964F5" w:rsidRPr="005E5544">
        <w:rPr>
          <w:b/>
          <w:sz w:val="24"/>
          <w:szCs w:val="24"/>
        </w:rPr>
        <w:t>0</w:t>
      </w:r>
      <w:r w:rsidRPr="005E5544">
        <w:rPr>
          <w:b/>
          <w:sz w:val="24"/>
          <w:szCs w:val="24"/>
          <w:vertAlign w:val="superscript"/>
        </w:rPr>
        <w:footnoteReference w:id="3"/>
      </w:r>
      <w:r w:rsidRPr="005E5544">
        <w:rPr>
          <w:b/>
          <w:sz w:val="24"/>
          <w:szCs w:val="24"/>
        </w:rPr>
        <w:t xml:space="preserve"> PLN </w:t>
      </w:r>
      <w:r w:rsidRPr="005E5544">
        <w:rPr>
          <w:sz w:val="24"/>
          <w:szCs w:val="24"/>
        </w:rPr>
        <w:t>(</w:t>
      </w:r>
      <w:sdt>
        <w:sdtPr>
          <w:tag w:val="goog_rdk_8"/>
          <w:id w:val="854378080"/>
        </w:sdtPr>
        <w:sdtEndPr/>
        <w:sdtContent/>
      </w:sdt>
      <w:r w:rsidRPr="005E5544">
        <w:rPr>
          <w:sz w:val="24"/>
          <w:szCs w:val="24"/>
        </w:rPr>
        <w:t xml:space="preserve">słownie: </w:t>
      </w:r>
      <w:r w:rsidR="005964F5" w:rsidRPr="005E5544">
        <w:rPr>
          <w:sz w:val="24"/>
          <w:szCs w:val="24"/>
        </w:rPr>
        <w:t xml:space="preserve">jeden milion </w:t>
      </w:r>
      <w:r w:rsidR="005E5544" w:rsidRPr="005E5544">
        <w:rPr>
          <w:sz w:val="24"/>
          <w:szCs w:val="24"/>
        </w:rPr>
        <w:t>czterysta osiemdziesiąt cztery tysiące sześćset sześćdziesiąt dwa</w:t>
      </w:r>
      <w:r w:rsidR="005964F5" w:rsidRPr="005E5544">
        <w:rPr>
          <w:sz w:val="24"/>
          <w:szCs w:val="24"/>
        </w:rPr>
        <w:t xml:space="preserve"> złot</w:t>
      </w:r>
      <w:r w:rsidR="005E5544" w:rsidRPr="005E5544">
        <w:rPr>
          <w:sz w:val="24"/>
          <w:szCs w:val="24"/>
        </w:rPr>
        <w:t>e</w:t>
      </w:r>
      <w:r w:rsidR="005964F5" w:rsidRPr="005E5544">
        <w:rPr>
          <w:sz w:val="24"/>
          <w:szCs w:val="24"/>
        </w:rPr>
        <w:t>,</w:t>
      </w:r>
      <w:r w:rsidR="005E5544" w:rsidRPr="005E5544">
        <w:rPr>
          <w:sz w:val="24"/>
          <w:szCs w:val="24"/>
        </w:rPr>
        <w:t xml:space="preserve"> 50</w:t>
      </w:r>
      <w:r w:rsidR="005964F5" w:rsidRPr="005E5544">
        <w:rPr>
          <w:sz w:val="24"/>
          <w:szCs w:val="24"/>
        </w:rPr>
        <w:t>/100</w:t>
      </w:r>
      <w:r w:rsidRPr="005E5544">
        <w:rPr>
          <w:sz w:val="24"/>
          <w:szCs w:val="24"/>
        </w:rPr>
        <w:t xml:space="preserve">), w tym: </w:t>
      </w:r>
    </w:p>
    <w:p w14:paraId="3C927893" w14:textId="6B286FD0" w:rsidR="002070A9" w:rsidRPr="005E5544" w:rsidRDefault="00924E40" w:rsidP="005964F5">
      <w:pPr>
        <w:spacing w:after="120" w:line="288" w:lineRule="auto"/>
        <w:ind w:left="567"/>
        <w:jc w:val="both"/>
        <w:rPr>
          <w:sz w:val="24"/>
          <w:szCs w:val="24"/>
        </w:rPr>
      </w:pPr>
      <w:r w:rsidRPr="005E5544">
        <w:rPr>
          <w:sz w:val="24"/>
          <w:szCs w:val="24"/>
        </w:rPr>
        <w:t xml:space="preserve">– EFRR </w:t>
      </w:r>
      <w:r w:rsidR="005964F5" w:rsidRPr="005E5544">
        <w:rPr>
          <w:b/>
          <w:sz w:val="24"/>
          <w:szCs w:val="24"/>
        </w:rPr>
        <w:t>1 </w:t>
      </w:r>
      <w:r w:rsidR="005E5544" w:rsidRPr="005E5544">
        <w:rPr>
          <w:b/>
          <w:sz w:val="24"/>
          <w:szCs w:val="24"/>
        </w:rPr>
        <w:t>319</w:t>
      </w:r>
      <w:r w:rsidR="005964F5" w:rsidRPr="005E5544">
        <w:rPr>
          <w:b/>
          <w:sz w:val="24"/>
          <w:szCs w:val="24"/>
        </w:rPr>
        <w:t> 7</w:t>
      </w:r>
      <w:r w:rsidR="005E5544" w:rsidRPr="005E5544">
        <w:rPr>
          <w:b/>
          <w:sz w:val="24"/>
          <w:szCs w:val="24"/>
        </w:rPr>
        <w:t>00</w:t>
      </w:r>
      <w:r w:rsidR="005964F5" w:rsidRPr="005E5544">
        <w:rPr>
          <w:b/>
          <w:sz w:val="24"/>
          <w:szCs w:val="24"/>
        </w:rPr>
        <w:t>,00</w:t>
      </w:r>
      <w:r w:rsidR="005964F5" w:rsidRPr="005E5544">
        <w:rPr>
          <w:sz w:val="24"/>
          <w:szCs w:val="24"/>
        </w:rPr>
        <w:t xml:space="preserve"> </w:t>
      </w:r>
      <w:r w:rsidRPr="005E5544">
        <w:rPr>
          <w:sz w:val="24"/>
          <w:szCs w:val="24"/>
        </w:rPr>
        <w:t xml:space="preserve">PLN (słownie: </w:t>
      </w:r>
      <w:r w:rsidR="005E5544" w:rsidRPr="005E5544">
        <w:rPr>
          <w:sz w:val="24"/>
          <w:szCs w:val="24"/>
        </w:rPr>
        <w:t>jeden milion trzysta dziewiętnaście tysięcy siedemset złotych, 0/100</w:t>
      </w:r>
      <w:r w:rsidRPr="005E5544">
        <w:rPr>
          <w:sz w:val="24"/>
          <w:szCs w:val="24"/>
        </w:rPr>
        <w:t>)</w:t>
      </w:r>
    </w:p>
    <w:p w14:paraId="5A2865C2" w14:textId="028D1AAE" w:rsidR="002070A9" w:rsidRPr="005E5544" w:rsidRDefault="00924E40" w:rsidP="005964F5">
      <w:pPr>
        <w:pBdr>
          <w:top w:val="nil"/>
          <w:left w:val="nil"/>
          <w:bottom w:val="nil"/>
          <w:right w:val="nil"/>
          <w:between w:val="nil"/>
        </w:pBdr>
        <w:spacing w:after="120" w:line="288" w:lineRule="auto"/>
        <w:ind w:left="567"/>
        <w:jc w:val="both"/>
        <w:rPr>
          <w:sz w:val="24"/>
          <w:szCs w:val="24"/>
        </w:rPr>
      </w:pPr>
      <w:r w:rsidRPr="005E5544">
        <w:rPr>
          <w:sz w:val="24"/>
          <w:szCs w:val="24"/>
        </w:rPr>
        <w:t xml:space="preserve">– budżet państwa </w:t>
      </w:r>
      <w:r w:rsidR="005E5544" w:rsidRPr="005E5544">
        <w:rPr>
          <w:b/>
          <w:sz w:val="24"/>
          <w:szCs w:val="24"/>
        </w:rPr>
        <w:t>164 962,5</w:t>
      </w:r>
      <w:r w:rsidR="005964F5" w:rsidRPr="005E5544">
        <w:rPr>
          <w:b/>
          <w:sz w:val="24"/>
          <w:szCs w:val="24"/>
        </w:rPr>
        <w:t>0</w:t>
      </w:r>
      <w:r w:rsidR="005964F5" w:rsidRPr="005E5544">
        <w:rPr>
          <w:sz w:val="24"/>
          <w:szCs w:val="24"/>
        </w:rPr>
        <w:t xml:space="preserve"> </w:t>
      </w:r>
      <w:r w:rsidRPr="005E5544">
        <w:rPr>
          <w:sz w:val="24"/>
          <w:szCs w:val="24"/>
        </w:rPr>
        <w:t xml:space="preserve"> PLN (słownie: </w:t>
      </w:r>
      <w:r w:rsidR="005E5544" w:rsidRPr="005E5544">
        <w:rPr>
          <w:sz w:val="24"/>
          <w:szCs w:val="24"/>
        </w:rPr>
        <w:t>sto sześćdziesiąt cztery tysiące dziewięćset sześćdziesiąt dwa złote</w:t>
      </w:r>
      <w:r w:rsidR="005964F5" w:rsidRPr="005E5544">
        <w:rPr>
          <w:sz w:val="24"/>
          <w:szCs w:val="24"/>
        </w:rPr>
        <w:t xml:space="preserve">, </w:t>
      </w:r>
      <w:r w:rsidR="005E5544">
        <w:rPr>
          <w:sz w:val="24"/>
          <w:szCs w:val="24"/>
        </w:rPr>
        <w:t>50</w:t>
      </w:r>
      <w:r w:rsidR="005964F5" w:rsidRPr="005E5544">
        <w:rPr>
          <w:sz w:val="24"/>
          <w:szCs w:val="24"/>
        </w:rPr>
        <w:t>/100</w:t>
      </w:r>
      <w:r w:rsidRPr="005E5544">
        <w:rPr>
          <w:sz w:val="24"/>
          <w:szCs w:val="24"/>
        </w:rPr>
        <w:t>).</w:t>
      </w:r>
    </w:p>
    <w:p w14:paraId="5AD4B2D2"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rsidP="005964F5">
      <w:pPr>
        <w:numPr>
          <w:ilvl w:val="1"/>
          <w:numId w:val="61"/>
        </w:numPr>
        <w:pBdr>
          <w:top w:val="nil"/>
          <w:left w:val="nil"/>
          <w:bottom w:val="nil"/>
          <w:right w:val="nil"/>
          <w:between w:val="nil"/>
        </w:pBdr>
        <w:spacing w:after="120" w:line="288" w:lineRule="auto"/>
        <w:ind w:left="1134"/>
        <w:jc w:val="both"/>
        <w:rPr>
          <w:color w:val="000000"/>
          <w:sz w:val="24"/>
          <w:szCs w:val="24"/>
        </w:rPr>
      </w:pPr>
      <w:r>
        <w:rPr>
          <w:color w:val="000000"/>
          <w:sz w:val="24"/>
          <w:szCs w:val="24"/>
        </w:rPr>
        <w:t>EFRR – w wysokości do 80% kosztów kwalifikowalnych,</w:t>
      </w:r>
    </w:p>
    <w:p w14:paraId="34489518" w14:textId="77777777" w:rsidR="002070A9" w:rsidRDefault="00924E40" w:rsidP="005964F5">
      <w:pPr>
        <w:numPr>
          <w:ilvl w:val="1"/>
          <w:numId w:val="61"/>
        </w:numPr>
        <w:pBdr>
          <w:top w:val="nil"/>
          <w:left w:val="nil"/>
          <w:bottom w:val="nil"/>
          <w:right w:val="nil"/>
          <w:between w:val="nil"/>
        </w:pBdr>
        <w:spacing w:after="120" w:line="288" w:lineRule="auto"/>
        <w:ind w:left="1134"/>
        <w:jc w:val="both"/>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rsidP="005964F5">
      <w:pPr>
        <w:numPr>
          <w:ilvl w:val="1"/>
          <w:numId w:val="61"/>
        </w:numPr>
        <w:pBdr>
          <w:top w:val="nil"/>
          <w:left w:val="nil"/>
          <w:bottom w:val="nil"/>
          <w:right w:val="nil"/>
          <w:between w:val="nil"/>
        </w:pBdr>
        <w:spacing w:after="120" w:line="288" w:lineRule="auto"/>
        <w:ind w:left="992" w:hanging="357"/>
        <w:jc w:val="both"/>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rsidP="005964F5">
      <w:pPr>
        <w:pBdr>
          <w:top w:val="nil"/>
          <w:left w:val="nil"/>
          <w:bottom w:val="nil"/>
          <w:right w:val="nil"/>
          <w:between w:val="nil"/>
        </w:pBdr>
        <w:spacing w:after="120" w:line="288" w:lineRule="auto"/>
        <w:ind w:left="633"/>
        <w:jc w:val="both"/>
        <w:rPr>
          <w:color w:val="000000"/>
          <w:sz w:val="24"/>
          <w:szCs w:val="24"/>
        </w:rPr>
      </w:pPr>
      <w:r>
        <w:rPr>
          <w:color w:val="000000"/>
          <w:sz w:val="24"/>
          <w:szCs w:val="24"/>
        </w:rPr>
        <w:t>albo</w:t>
      </w:r>
    </w:p>
    <w:p w14:paraId="31FFF0FB" w14:textId="77777777" w:rsidR="002070A9" w:rsidRDefault="00924E40" w:rsidP="005964F5">
      <w:pPr>
        <w:numPr>
          <w:ilvl w:val="1"/>
          <w:numId w:val="61"/>
        </w:numPr>
        <w:pBdr>
          <w:top w:val="nil"/>
          <w:left w:val="nil"/>
          <w:bottom w:val="nil"/>
          <w:right w:val="nil"/>
          <w:between w:val="nil"/>
        </w:pBdr>
        <w:spacing w:after="120" w:line="288" w:lineRule="auto"/>
        <w:ind w:left="992" w:hanging="357"/>
        <w:jc w:val="both"/>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77777777" w:rsidR="002070A9" w:rsidRDefault="00924E40" w:rsidP="005964F5">
      <w:pPr>
        <w:numPr>
          <w:ilvl w:val="0"/>
          <w:numId w:val="61"/>
        </w:numPr>
        <w:spacing w:after="120" w:line="288" w:lineRule="auto"/>
        <w:ind w:left="567" w:hanging="425"/>
        <w:jc w:val="both"/>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0B5E79ED" w:rsidR="002070A9" w:rsidRDefault="00924E40" w:rsidP="005964F5">
      <w:pPr>
        <w:numPr>
          <w:ilvl w:val="0"/>
          <w:numId w:val="61"/>
        </w:numPr>
        <w:pBdr>
          <w:top w:val="nil"/>
          <w:left w:val="nil"/>
          <w:bottom w:val="nil"/>
          <w:right w:val="nil"/>
          <w:between w:val="nil"/>
        </w:pBdr>
        <w:spacing w:after="120" w:line="288" w:lineRule="auto"/>
        <w:ind w:hanging="502"/>
        <w:jc w:val="both"/>
        <w:rPr>
          <w:color w:val="000000"/>
          <w:sz w:val="24"/>
          <w:szCs w:val="24"/>
        </w:rPr>
      </w:pPr>
      <w:r>
        <w:rPr>
          <w:color w:val="000000"/>
          <w:sz w:val="24"/>
          <w:szCs w:val="24"/>
        </w:rPr>
        <w:t xml:space="preserve">W przypadku projektów, w ramach których poniesione zostaną koszty związane </w:t>
      </w:r>
      <w:r w:rsidR="005964F5">
        <w:rPr>
          <w:color w:val="000000"/>
          <w:sz w:val="24"/>
          <w:szCs w:val="24"/>
        </w:rPr>
        <w:br/>
      </w:r>
      <w:r>
        <w:rPr>
          <w:color w:val="000000"/>
          <w:sz w:val="24"/>
          <w:szCs w:val="24"/>
        </w:rPr>
        <w:t xml:space="preserve">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30D47CD3"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62C56D1D"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W ramach naboru przewiduje się mechanizm cross-financingu w wysokości maksymalnie 15% całkowitej wartości projektu.</w:t>
      </w:r>
    </w:p>
    <w:p w14:paraId="1FEB8BEB"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rsidP="005964F5">
      <w:pPr>
        <w:numPr>
          <w:ilvl w:val="0"/>
          <w:numId w:val="6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rsidP="005964F5">
      <w:pPr>
        <w:pBdr>
          <w:top w:val="nil"/>
          <w:left w:val="nil"/>
          <w:bottom w:val="nil"/>
          <w:right w:val="nil"/>
          <w:between w:val="nil"/>
        </w:pBdr>
        <w:spacing w:after="120" w:line="288" w:lineRule="auto"/>
        <w:ind w:left="567"/>
        <w:jc w:val="both"/>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rsidP="005964F5">
      <w:pPr>
        <w:pStyle w:val="Nagwek2"/>
        <w:numPr>
          <w:ilvl w:val="0"/>
          <w:numId w:val="29"/>
        </w:numPr>
        <w:spacing w:before="240" w:after="120"/>
        <w:ind w:left="284" w:hanging="284"/>
        <w:jc w:val="both"/>
        <w:rPr>
          <w:rFonts w:ascii="Calibri" w:eastAsia="Calibri" w:hAnsi="Calibri" w:cs="Calibri"/>
          <w:sz w:val="28"/>
          <w:szCs w:val="28"/>
        </w:rPr>
      </w:pPr>
      <w:bookmarkStart w:id="10" w:name="_Toc176941423"/>
      <w:r>
        <w:rPr>
          <w:rFonts w:ascii="Calibri" w:eastAsia="Calibri" w:hAnsi="Calibri" w:cs="Calibri"/>
          <w:sz w:val="28"/>
          <w:szCs w:val="28"/>
        </w:rPr>
        <w:t>Infrastruktura pomocnicza</w:t>
      </w:r>
      <w:bookmarkEnd w:id="10"/>
    </w:p>
    <w:p w14:paraId="08EF285D" w14:textId="427823A8" w:rsidR="002070A9" w:rsidRDefault="00924E40" w:rsidP="005964F5">
      <w:pPr>
        <w:numPr>
          <w:ilvl w:val="0"/>
          <w:numId w:val="27"/>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projektu nieobjętego pomocą publiczną, jeżeli Wnioskodawca/Beneficjent prowadzi niemal wyłącznie działalność niegospodarczą, jej finansowanie może być </w:t>
      </w:r>
      <w:r w:rsidR="005964F5">
        <w:rPr>
          <w:color w:val="000000"/>
          <w:sz w:val="24"/>
          <w:szCs w:val="24"/>
        </w:rPr>
        <w:br/>
      </w:r>
      <w:r>
        <w:rPr>
          <w:color w:val="000000"/>
          <w:sz w:val="24"/>
          <w:szCs w:val="24"/>
        </w:rPr>
        <w:t>w całości nieobjęte zasadami pomocy państwa, pod warunkiem że jego działalność gospodarcza ma charakter czysto pomocniczy, to jest:</w:t>
      </w:r>
    </w:p>
    <w:p w14:paraId="59EC2DBB" w14:textId="77777777" w:rsidR="002070A9" w:rsidRDefault="00924E40" w:rsidP="005964F5">
      <w:pPr>
        <w:numPr>
          <w:ilvl w:val="1"/>
          <w:numId w:val="27"/>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rsidP="005964F5">
      <w:pPr>
        <w:numPr>
          <w:ilvl w:val="1"/>
          <w:numId w:val="2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rsidP="002C7F1F">
      <w:pPr>
        <w:numPr>
          <w:ilvl w:val="1"/>
          <w:numId w:val="2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ma ograniczony zakres w odniesieniu do wydajności infrastruktury.</w:t>
      </w:r>
    </w:p>
    <w:p w14:paraId="52A5C299" w14:textId="77777777" w:rsidR="002070A9" w:rsidRDefault="00924E40" w:rsidP="002C7F1F">
      <w:p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rsidP="002C7F1F">
      <w:pPr>
        <w:numPr>
          <w:ilvl w:val="0"/>
          <w:numId w:val="2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rsidP="002C7F1F">
      <w:pPr>
        <w:pBdr>
          <w:top w:val="nil"/>
          <w:left w:val="nil"/>
          <w:bottom w:val="nil"/>
          <w:right w:val="nil"/>
          <w:between w:val="nil"/>
        </w:pBdr>
        <w:spacing w:after="120" w:line="288" w:lineRule="auto"/>
        <w:ind w:left="567"/>
        <w:jc w:val="both"/>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rsidP="002C7F1F">
      <w:pPr>
        <w:numPr>
          <w:ilvl w:val="0"/>
          <w:numId w:val="28"/>
        </w:numPr>
        <w:pBdr>
          <w:top w:val="nil"/>
          <w:left w:val="nil"/>
          <w:bottom w:val="nil"/>
          <w:right w:val="nil"/>
          <w:between w:val="nil"/>
        </w:pBdr>
        <w:spacing w:after="0" w:line="288" w:lineRule="auto"/>
        <w:ind w:left="567" w:hanging="425"/>
        <w:jc w:val="both"/>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rsidP="002C7F1F">
      <w:pPr>
        <w:pBdr>
          <w:top w:val="nil"/>
          <w:left w:val="nil"/>
          <w:bottom w:val="nil"/>
          <w:right w:val="nil"/>
          <w:between w:val="nil"/>
        </w:pBdr>
        <w:spacing w:after="0" w:line="288" w:lineRule="auto"/>
        <w:ind w:left="709" w:hanging="142"/>
        <w:jc w:val="both"/>
        <w:rPr>
          <w:color w:val="000000"/>
          <w:sz w:val="24"/>
          <w:szCs w:val="24"/>
        </w:rPr>
      </w:pPr>
      <w:r>
        <w:rPr>
          <w:color w:val="000000"/>
          <w:sz w:val="24"/>
          <w:szCs w:val="24"/>
        </w:rPr>
        <w:t>należy wskazać proporcję wykorzystania infrastruktury odnosząc się</w:t>
      </w:r>
    </w:p>
    <w:p w14:paraId="0B5720E5" w14:textId="77777777" w:rsidR="002070A9" w:rsidRDefault="00924E40" w:rsidP="002C7F1F">
      <w:pPr>
        <w:pBdr>
          <w:top w:val="nil"/>
          <w:left w:val="nil"/>
          <w:bottom w:val="nil"/>
          <w:right w:val="nil"/>
          <w:between w:val="nil"/>
        </w:pBdr>
        <w:spacing w:after="0" w:line="288" w:lineRule="auto"/>
        <w:ind w:left="567"/>
        <w:jc w:val="both"/>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rsidP="002C7F1F">
      <w:pPr>
        <w:pBdr>
          <w:top w:val="nil"/>
          <w:left w:val="nil"/>
          <w:bottom w:val="nil"/>
          <w:right w:val="nil"/>
          <w:between w:val="nil"/>
        </w:pBdr>
        <w:spacing w:after="0" w:line="288" w:lineRule="auto"/>
        <w:ind w:left="567"/>
        <w:jc w:val="both"/>
        <w:rPr>
          <w:color w:val="000000"/>
          <w:sz w:val="24"/>
          <w:szCs w:val="24"/>
        </w:rPr>
      </w:pPr>
      <w:r>
        <w:rPr>
          <w:color w:val="000000"/>
          <w:sz w:val="24"/>
          <w:szCs w:val="24"/>
        </w:rPr>
        <w:t>w jakim jest ona wykorzystywana na cele gospodarcze (maksymalnie 20%)</w:t>
      </w:r>
    </w:p>
    <w:p w14:paraId="0DF81B86" w14:textId="77777777" w:rsidR="002070A9" w:rsidRDefault="00924E40" w:rsidP="002C7F1F">
      <w:pPr>
        <w:pBdr>
          <w:top w:val="nil"/>
          <w:left w:val="nil"/>
          <w:bottom w:val="nil"/>
          <w:right w:val="nil"/>
          <w:between w:val="nil"/>
        </w:pBdr>
        <w:spacing w:after="120" w:line="288" w:lineRule="auto"/>
        <w:ind w:left="567"/>
        <w:jc w:val="both"/>
        <w:rPr>
          <w:color w:val="000000"/>
        </w:rPr>
      </w:pPr>
      <w:r>
        <w:rPr>
          <w:color w:val="000000"/>
          <w:sz w:val="24"/>
          <w:szCs w:val="24"/>
        </w:rPr>
        <w:lastRenderedPageBreak/>
        <w:t>i niegospodarcze.</w:t>
      </w:r>
      <w:r>
        <w:rPr>
          <w:color w:val="000000"/>
        </w:rPr>
        <w:t xml:space="preserve"> </w:t>
      </w:r>
    </w:p>
    <w:p w14:paraId="1C9B68E1" w14:textId="77777777" w:rsidR="002070A9" w:rsidRDefault="00924E40" w:rsidP="002C7F1F">
      <w:pPr>
        <w:pStyle w:val="Nagwek2"/>
        <w:numPr>
          <w:ilvl w:val="0"/>
          <w:numId w:val="62"/>
        </w:numPr>
        <w:spacing w:before="240" w:after="120"/>
        <w:ind w:left="284" w:hanging="284"/>
        <w:jc w:val="both"/>
        <w:rPr>
          <w:rFonts w:ascii="Calibri" w:eastAsia="Calibri" w:hAnsi="Calibri" w:cs="Calibri"/>
          <w:sz w:val="28"/>
          <w:szCs w:val="28"/>
        </w:rPr>
      </w:pPr>
      <w:bookmarkStart w:id="11" w:name="_Toc176941424"/>
      <w:r>
        <w:rPr>
          <w:rFonts w:ascii="Calibri" w:eastAsia="Calibri" w:hAnsi="Calibri" w:cs="Calibri"/>
          <w:sz w:val="28"/>
          <w:szCs w:val="28"/>
        </w:rPr>
        <w:t>Ogólne zasady dotyczące naboru oraz realizacji projektów</w:t>
      </w:r>
      <w:bookmarkEnd w:id="11"/>
    </w:p>
    <w:p w14:paraId="11133551"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rsidP="002C7F1F">
      <w:pPr>
        <w:numPr>
          <w:ilvl w:val="0"/>
          <w:numId w:val="6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Warunki dotyczące zmiany statusu Wnioskodawcy/Beneficjenta:</w:t>
      </w:r>
    </w:p>
    <w:p w14:paraId="6A325A95" w14:textId="77777777" w:rsidR="002070A9" w:rsidRDefault="00924E40" w:rsidP="002C7F1F">
      <w:pPr>
        <w:numPr>
          <w:ilvl w:val="2"/>
          <w:numId w:val="64"/>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rsidP="002C7F1F">
      <w:pPr>
        <w:numPr>
          <w:ilvl w:val="2"/>
          <w:numId w:val="64"/>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w:t>
      </w:r>
      <w:r>
        <w:rPr>
          <w:color w:val="000000"/>
          <w:sz w:val="24"/>
          <w:szCs w:val="24"/>
        </w:rPr>
        <w:lastRenderedPageBreak/>
        <w:t>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rsidP="002C7F1F">
      <w:pPr>
        <w:pStyle w:val="Nagwek2"/>
        <w:numPr>
          <w:ilvl w:val="0"/>
          <w:numId w:val="62"/>
        </w:numPr>
        <w:spacing w:before="240" w:after="120"/>
        <w:ind w:left="284" w:hanging="284"/>
        <w:jc w:val="both"/>
        <w:rPr>
          <w:rFonts w:ascii="Calibri" w:eastAsia="Calibri" w:hAnsi="Calibri" w:cs="Calibri"/>
          <w:sz w:val="28"/>
          <w:szCs w:val="28"/>
        </w:rPr>
      </w:pPr>
      <w:bookmarkStart w:id="12" w:name="_Toc176941425"/>
      <w:r>
        <w:rPr>
          <w:rFonts w:ascii="Calibri" w:eastAsia="Calibri" w:hAnsi="Calibri" w:cs="Calibri"/>
          <w:sz w:val="28"/>
          <w:szCs w:val="28"/>
        </w:rPr>
        <w:t>Kwalifikowalność wydatków</w:t>
      </w:r>
      <w:bookmarkEnd w:id="12"/>
    </w:p>
    <w:p w14:paraId="0368E3C0"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rsidP="002C7F1F">
      <w:pPr>
        <w:numPr>
          <w:ilvl w:val="0"/>
          <w:numId w:val="1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przygotowanie terenu pod budowę (w tym prace rozbiórkowe),</w:t>
      </w:r>
    </w:p>
    <w:p w14:paraId="7BAC1CFB"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roboty budowlane,</w:t>
      </w:r>
    </w:p>
    <w:p w14:paraId="14E0D1A2"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materiały budowlane,</w:t>
      </w:r>
    </w:p>
    <w:p w14:paraId="0FD6DE7D"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nasadzenia/tworzenie terenów zielonych,</w:t>
      </w:r>
    </w:p>
    <w:p w14:paraId="559062BA"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środki trwałe wraz z montażem,</w:t>
      </w:r>
    </w:p>
    <w:p w14:paraId="1F286851"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wartości niematerialne i prawne wraz z wdrożeniem,</w:t>
      </w:r>
    </w:p>
    <w:p w14:paraId="6C36B0BB"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budki lęgowe,</w:t>
      </w:r>
    </w:p>
    <w:p w14:paraId="0926F6D0"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audyty, badania, ekspertyzy/analizy techniczne niezbędne do wdrożenia i realizacji projektu (jako usługi zewnętrzne),</w:t>
      </w:r>
    </w:p>
    <w:p w14:paraId="7CBA5E5E" w14:textId="447C6DE4" w:rsidR="002070A9" w:rsidRDefault="004B4087"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r w:rsidR="00924E40">
        <w:rPr>
          <w:color w:val="000000"/>
          <w:sz w:val="24"/>
          <w:szCs w:val="24"/>
        </w:rPr>
        <w:t>,</w:t>
      </w:r>
    </w:p>
    <w:p w14:paraId="14C3341D"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szkolenia dla pracowników w ramach cross-financingu – do 15% całkowitej wartości projektu,</w:t>
      </w:r>
    </w:p>
    <w:p w14:paraId="2D94C170" w14:textId="77777777"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udziału w międzynarodowych imprezach gospodarczych Wnioskodawcy/Beneficjenta, </w:t>
      </w:r>
    </w:p>
    <w:p w14:paraId="3ECDACF2" w14:textId="2AD2ED0F" w:rsidR="002070A9" w:rsidRDefault="00924E40" w:rsidP="002C7F1F">
      <w:pPr>
        <w:numPr>
          <w:ilvl w:val="0"/>
          <w:numId w:val="18"/>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koszty pośrednie w wysokości 2,5% kwalifikowalnych kosztów bezpośrednich, </w:t>
      </w:r>
      <w:r w:rsidR="002C7F1F">
        <w:rPr>
          <w:color w:val="000000"/>
          <w:sz w:val="24"/>
          <w:szCs w:val="24"/>
        </w:rPr>
        <w:br/>
      </w:r>
      <w:r>
        <w:rPr>
          <w:color w:val="000000"/>
          <w:sz w:val="24"/>
          <w:szCs w:val="24"/>
        </w:rPr>
        <w:t xml:space="preserve">w tym między innymi: </w:t>
      </w:r>
    </w:p>
    <w:p w14:paraId="73708FC9"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rsidP="002C7F1F">
      <w:pPr>
        <w:numPr>
          <w:ilvl w:val="0"/>
          <w:numId w:val="30"/>
        </w:numPr>
        <w:pBdr>
          <w:top w:val="nil"/>
          <w:left w:val="nil"/>
          <w:bottom w:val="nil"/>
          <w:right w:val="nil"/>
          <w:between w:val="nil"/>
        </w:pBdr>
        <w:spacing w:after="120" w:line="288" w:lineRule="auto"/>
        <w:ind w:left="1560"/>
        <w:jc w:val="both"/>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rsidP="002C7F1F">
      <w:pPr>
        <w:numPr>
          <w:ilvl w:val="0"/>
          <w:numId w:val="42"/>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Podatek VAT jest kwalifikowalny w projekcie: </w:t>
      </w:r>
    </w:p>
    <w:p w14:paraId="5A750214" w14:textId="77777777" w:rsidR="002070A9" w:rsidRDefault="00924E40" w:rsidP="002C7F1F">
      <w:pPr>
        <w:numPr>
          <w:ilvl w:val="0"/>
          <w:numId w:val="32"/>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 xml:space="preserve">którego całkowity koszt jest niższy niż 5 milionów EUR (włączając VAT); </w:t>
      </w:r>
    </w:p>
    <w:p w14:paraId="55DD9653" w14:textId="54054A6C" w:rsidR="002070A9" w:rsidRDefault="00924E40" w:rsidP="002C7F1F">
      <w:pPr>
        <w:numPr>
          <w:ilvl w:val="0"/>
          <w:numId w:val="32"/>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 xml:space="preserve">którego całkowity koszt jest równy, bądź wyższy niż 5 mln EUR (włączając VAT), </w:t>
      </w:r>
      <w:r w:rsidR="002C7F1F">
        <w:rPr>
          <w:color w:val="000000"/>
          <w:sz w:val="24"/>
          <w:szCs w:val="24"/>
        </w:rPr>
        <w:br/>
      </w:r>
      <w:r>
        <w:rPr>
          <w:color w:val="000000"/>
          <w:sz w:val="24"/>
          <w:szCs w:val="24"/>
        </w:rPr>
        <w:t xml:space="preserve">w przypadku gdy Wnioskodawca/Beneficjent nie będzie miał prawnej możliwości jego odzyskania (nabyte aktywa oraz wybudowana infrastruktura nie będą wykorzystywane do wykonywania czynności opodatkowanych podatkiem VAT), </w:t>
      </w:r>
      <w:r w:rsidR="002C7F1F">
        <w:rPr>
          <w:color w:val="000000"/>
          <w:sz w:val="24"/>
          <w:szCs w:val="24"/>
        </w:rPr>
        <w:br/>
      </w:r>
      <w:r>
        <w:rPr>
          <w:color w:val="000000"/>
          <w:sz w:val="24"/>
          <w:szCs w:val="24"/>
        </w:rPr>
        <w:t xml:space="preserve">a także nabyte aktywa oraz wybudowana infrastruktura nie będą udostępnione innym podmiotom do prowadzenia działalności opodatkowanej podatkiem VAT. </w:t>
      </w:r>
    </w:p>
    <w:p w14:paraId="30DCDEEC"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Do limitu wskazanego w pkt. 6. wliczają się także wydatki na działania stanowiące elementy uzupełniające do głównych zakresów  wsparcia wskazanych w SZOP. </w:t>
      </w:r>
    </w:p>
    <w:p w14:paraId="2F80ABD9" w14:textId="77777777" w:rsidR="002070A9" w:rsidRDefault="00924E40" w:rsidP="002C7F1F">
      <w:pPr>
        <w:numPr>
          <w:ilvl w:val="0"/>
          <w:numId w:val="3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Przykładowe koszty niekwalifikowalne w ramach naboru :</w:t>
      </w:r>
    </w:p>
    <w:p w14:paraId="764D719B" w14:textId="77777777" w:rsidR="002070A9" w:rsidRDefault="00924E40" w:rsidP="002C7F1F">
      <w:pPr>
        <w:numPr>
          <w:ilvl w:val="0"/>
          <w:numId w:val="1"/>
        </w:numPr>
        <w:pBdr>
          <w:top w:val="nil"/>
          <w:left w:val="nil"/>
          <w:bottom w:val="nil"/>
          <w:right w:val="nil"/>
          <w:between w:val="nil"/>
        </w:pBdr>
        <w:spacing w:after="120" w:line="288" w:lineRule="auto"/>
        <w:ind w:left="924" w:hanging="357"/>
        <w:jc w:val="both"/>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rsidP="002C7F1F">
      <w:pPr>
        <w:numPr>
          <w:ilvl w:val="0"/>
          <w:numId w:val="1"/>
        </w:numPr>
        <w:pBdr>
          <w:top w:val="nil"/>
          <w:left w:val="nil"/>
          <w:bottom w:val="nil"/>
          <w:right w:val="nil"/>
          <w:between w:val="nil"/>
        </w:pBdr>
        <w:spacing w:after="120" w:line="288" w:lineRule="auto"/>
        <w:ind w:left="924" w:hanging="357"/>
        <w:jc w:val="both"/>
        <w:rPr>
          <w:color w:val="000000"/>
          <w:sz w:val="24"/>
          <w:szCs w:val="24"/>
        </w:rPr>
      </w:pPr>
      <w:r>
        <w:rPr>
          <w:color w:val="000000"/>
          <w:sz w:val="24"/>
          <w:szCs w:val="24"/>
        </w:rPr>
        <w:t>koszty informacji i promocji projektu powyżej 20 000 PLN,</w:t>
      </w:r>
    </w:p>
    <w:p w14:paraId="337F9C9A" w14:textId="77777777" w:rsidR="002070A9" w:rsidRDefault="00924E40" w:rsidP="002C7F1F">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amortyzacja,</w:t>
      </w:r>
    </w:p>
    <w:p w14:paraId="41A77F2F" w14:textId="77777777" w:rsidR="002070A9" w:rsidRDefault="00924E40" w:rsidP="002C7F1F">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zakup środków transportu,</w:t>
      </w:r>
    </w:p>
    <w:p w14:paraId="51C7139A"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zakup używanych środków trwałych oraz wartości niematerialnych i prawnych,</w:t>
      </w:r>
    </w:p>
    <w:p w14:paraId="5D47D981"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 pożyczki lub kredytu,</w:t>
      </w:r>
    </w:p>
    <w:p w14:paraId="28700C8C"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bieżące utrzymanie infrastruktury inne niż ujęte w kosztach pośrednich,</w:t>
      </w:r>
    </w:p>
    <w:p w14:paraId="6D9E12CD"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koszty personelu projektu inne niż ujęte w kosztach pośrednich,</w:t>
      </w:r>
    </w:p>
    <w:p w14:paraId="6444284C"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 zakupu nieruchomości, tj. zakup gruntu, budynku lub lokalu,</w:t>
      </w:r>
    </w:p>
    <w:p w14:paraId="25CAE61E"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koszty nagród, gadżetów,</w:t>
      </w:r>
    </w:p>
    <w:p w14:paraId="73EAE60F" w14:textId="0240F136" w:rsidR="0057363F" w:rsidRPr="0099553E" w:rsidRDefault="0086699B"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wydatki</w:t>
      </w:r>
      <w:r w:rsidR="0057363F" w:rsidRPr="0099553E">
        <w:rPr>
          <w:sz w:val="24"/>
          <w:szCs w:val="24"/>
        </w:rPr>
        <w:t xml:space="preserve"> związane z instalacjami OZE służącymi do wytwarzania i magazynowania energii powyżej 20% kosztów kwalifikowalnych projektu,</w:t>
      </w:r>
    </w:p>
    <w:p w14:paraId="1588D380" w14:textId="77777777" w:rsidR="009A5872" w:rsidRPr="0099553E" w:rsidRDefault="002A07B0"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99553E" w:rsidRDefault="009A5872" w:rsidP="00EC3944">
      <w:pPr>
        <w:numPr>
          <w:ilvl w:val="0"/>
          <w:numId w:val="1"/>
        </w:numPr>
        <w:pBdr>
          <w:top w:val="nil"/>
          <w:left w:val="nil"/>
          <w:bottom w:val="nil"/>
          <w:right w:val="nil"/>
          <w:between w:val="nil"/>
        </w:pBdr>
        <w:spacing w:after="120" w:line="288" w:lineRule="auto"/>
        <w:jc w:val="both"/>
        <w:rPr>
          <w:sz w:val="24"/>
          <w:szCs w:val="24"/>
        </w:rPr>
      </w:pPr>
      <w:r w:rsidRPr="0099553E">
        <w:rPr>
          <w:sz w:val="24"/>
          <w:szCs w:val="24"/>
        </w:rPr>
        <w:t>koszty pośrednie  oraz koszty szkoleń dla pracowników w projektach własnych Lokalnych Grup Działania,</w:t>
      </w:r>
    </w:p>
    <w:p w14:paraId="0A227357" w14:textId="77777777" w:rsidR="002070A9" w:rsidRDefault="00924E40" w:rsidP="00EC3944">
      <w:pPr>
        <w:numPr>
          <w:ilvl w:val="0"/>
          <w:numId w:val="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koszty KZiA, które stanowiły koszty kwalifikowalne w naborze FEWP.08.01-IZ.00-001/24. </w:t>
      </w:r>
    </w:p>
    <w:p w14:paraId="66AF9191" w14:textId="77777777" w:rsidR="002070A9" w:rsidRDefault="00924E40" w:rsidP="00EC3944">
      <w:pPr>
        <w:pStyle w:val="Nagwek2"/>
        <w:numPr>
          <w:ilvl w:val="0"/>
          <w:numId w:val="22"/>
        </w:numPr>
        <w:spacing w:before="240" w:after="120"/>
        <w:ind w:left="284" w:hanging="284"/>
        <w:jc w:val="both"/>
        <w:rPr>
          <w:rFonts w:ascii="Calibri" w:eastAsia="Calibri" w:hAnsi="Calibri" w:cs="Calibri"/>
          <w:color w:val="2E74B5"/>
          <w:sz w:val="28"/>
          <w:szCs w:val="28"/>
        </w:rPr>
      </w:pPr>
      <w:bookmarkStart w:id="13" w:name="_Toc176941426"/>
      <w:r>
        <w:rPr>
          <w:rFonts w:ascii="Calibri" w:eastAsia="Calibri" w:hAnsi="Calibri" w:cs="Calibri"/>
          <w:color w:val="2E74B5"/>
          <w:sz w:val="28"/>
          <w:szCs w:val="28"/>
        </w:rPr>
        <w:t>Uproszczone metody rozliczania wydatków</w:t>
      </w:r>
      <w:bookmarkEnd w:id="13"/>
    </w:p>
    <w:p w14:paraId="78705405"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rsidP="00EC3944">
      <w:pPr>
        <w:numPr>
          <w:ilvl w:val="3"/>
          <w:numId w:val="7"/>
        </w:numPr>
        <w:pBdr>
          <w:top w:val="nil"/>
          <w:left w:val="nil"/>
          <w:bottom w:val="nil"/>
          <w:right w:val="nil"/>
          <w:between w:val="nil"/>
        </w:pBdr>
        <w:spacing w:after="120" w:line="288" w:lineRule="auto"/>
        <w:ind w:left="567"/>
        <w:jc w:val="both"/>
        <w:rPr>
          <w:color w:val="000000"/>
          <w:sz w:val="24"/>
          <w:szCs w:val="24"/>
        </w:rPr>
      </w:pPr>
      <w:r>
        <w:rPr>
          <w:color w:val="000000"/>
          <w:sz w:val="24"/>
          <w:szCs w:val="24"/>
        </w:rPr>
        <w:lastRenderedPageBreak/>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3021BB3C" w:rsidR="002070A9" w:rsidRDefault="00924E40" w:rsidP="00EC3944">
      <w:pPr>
        <w:pStyle w:val="Nagwek2"/>
        <w:numPr>
          <w:ilvl w:val="0"/>
          <w:numId w:val="62"/>
        </w:numPr>
        <w:spacing w:before="240" w:after="120"/>
        <w:ind w:left="284" w:hanging="284"/>
        <w:jc w:val="both"/>
        <w:rPr>
          <w:rFonts w:ascii="Arial" w:eastAsia="Arial" w:hAnsi="Arial" w:cs="Arial"/>
          <w:sz w:val="24"/>
          <w:szCs w:val="24"/>
        </w:rPr>
      </w:pPr>
      <w:bookmarkStart w:id="14" w:name="_Toc176941427"/>
      <w:r>
        <w:rPr>
          <w:rFonts w:ascii="Calibri" w:eastAsia="Calibri" w:hAnsi="Calibri" w:cs="Calibri"/>
          <w:sz w:val="28"/>
          <w:szCs w:val="28"/>
        </w:rPr>
        <w:t>Partnerstwo</w:t>
      </w:r>
      <w:bookmarkEnd w:id="14"/>
      <w:r w:rsidR="0026453B">
        <w:rPr>
          <w:rStyle w:val="Odwoanieprzypisudolnego"/>
          <w:rFonts w:ascii="Calibri" w:eastAsia="Calibri" w:hAnsi="Calibri" w:cs="Calibri"/>
          <w:sz w:val="28"/>
          <w:szCs w:val="28"/>
        </w:rPr>
        <w:footnoteReference w:id="9"/>
      </w:r>
    </w:p>
    <w:p w14:paraId="444C1D7F"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rsidP="00EC3944">
      <w:pPr>
        <w:numPr>
          <w:ilvl w:val="0"/>
          <w:numId w:val="4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110F5D11"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w:t>
      </w:r>
      <w:r w:rsidR="00EC3944">
        <w:rPr>
          <w:color w:val="000000"/>
          <w:sz w:val="24"/>
          <w:szCs w:val="24"/>
        </w:rPr>
        <w:br/>
      </w:r>
      <w:r>
        <w:rPr>
          <w:color w:val="000000"/>
          <w:sz w:val="24"/>
          <w:szCs w:val="24"/>
        </w:rPr>
        <w:t>i organizacyjnym oraz odpowiednie doświadczenie, który tym samym wniesie znaczny wkład w jego realizację.</w:t>
      </w:r>
    </w:p>
    <w:p w14:paraId="0A2A432A"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Partnerzy, a także inne podmioty zaangażowane w realizację projektu będą, pod kątem spełniania zapisów Regulaminu i kryteriów wyboru, podlegać takiej samej weryfikacji co Wnioskodawcy.</w:t>
      </w:r>
    </w:p>
    <w:p w14:paraId="6E6E9EB5"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Wybór partnerów musi być dokonany przed złożeniem wniosku.</w:t>
      </w:r>
    </w:p>
    <w:p w14:paraId="2D9168C1"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rsidP="00EC3944">
      <w:pPr>
        <w:numPr>
          <w:ilvl w:val="0"/>
          <w:numId w:val="48"/>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Porozumienie oraz umowa o partnerstwie określają w szczególności:</w:t>
      </w:r>
    </w:p>
    <w:p w14:paraId="77D25E28"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przedmiot porozumienia albo umowy,</w:t>
      </w:r>
    </w:p>
    <w:p w14:paraId="5C732A94"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prawa i obowiązki stron,</w:t>
      </w:r>
    </w:p>
    <w:p w14:paraId="493547F5"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rsidP="00EC3944">
      <w:pPr>
        <w:numPr>
          <w:ilvl w:val="0"/>
          <w:numId w:val="20"/>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postępowania w przypadku naruszenia lub niewywiązania się stron z porozumienia lub umowy o partnerstwie.</w:t>
      </w:r>
    </w:p>
    <w:p w14:paraId="4C80411F" w14:textId="77777777" w:rsidR="002070A9" w:rsidRDefault="00924E40" w:rsidP="00EC3944">
      <w:pPr>
        <w:numPr>
          <w:ilvl w:val="0"/>
          <w:numId w:val="67"/>
        </w:numPr>
        <w:pBdr>
          <w:top w:val="nil"/>
          <w:left w:val="nil"/>
          <w:bottom w:val="nil"/>
          <w:right w:val="nil"/>
          <w:between w:val="nil"/>
        </w:pBdr>
        <w:spacing w:after="120" w:line="288" w:lineRule="auto"/>
        <w:ind w:left="635" w:hanging="425"/>
        <w:jc w:val="both"/>
        <w:rPr>
          <w:color w:val="000000"/>
          <w:sz w:val="24"/>
          <w:szCs w:val="24"/>
        </w:rPr>
      </w:pPr>
      <w:r>
        <w:rPr>
          <w:color w:val="000000"/>
          <w:sz w:val="24"/>
          <w:szCs w:val="24"/>
        </w:rPr>
        <w:lastRenderedPageBreak/>
        <w:t>Efekty partnerstwa muszą być dostępne dla wszystkich jego uczestników</w:t>
      </w:r>
    </w:p>
    <w:p w14:paraId="6F4F2D8E" w14:textId="77777777" w:rsidR="002070A9" w:rsidRDefault="002070A9">
      <w:pPr>
        <w:spacing w:after="120" w:line="288" w:lineRule="auto"/>
        <w:rPr>
          <w:strike/>
          <w:color w:val="000000"/>
          <w:sz w:val="24"/>
          <w:szCs w:val="24"/>
        </w:rPr>
      </w:pP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5" w:name="_Toc176941428"/>
      <w:r w:rsidR="00924E40">
        <w:rPr>
          <w:rFonts w:ascii="Calibri" w:eastAsia="Calibri" w:hAnsi="Calibri" w:cs="Calibri"/>
          <w:color w:val="FFFFFF"/>
          <w:sz w:val="48"/>
          <w:szCs w:val="48"/>
        </w:rPr>
        <w:t>Zasady horyzontalne i środowiskowe</w:t>
      </w:r>
      <w:bookmarkEnd w:id="15"/>
    </w:p>
    <w:p w14:paraId="7A2D2FE2" w14:textId="77777777" w:rsidR="002070A9" w:rsidRDefault="00924E40" w:rsidP="00EC3944">
      <w:pPr>
        <w:spacing w:after="120" w:line="288" w:lineRule="auto"/>
        <w:ind w:left="284"/>
        <w:jc w:val="both"/>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6" w:name="_Toc176941429"/>
      <w:r>
        <w:rPr>
          <w:rFonts w:ascii="Calibri" w:eastAsia="Calibri" w:hAnsi="Calibri" w:cs="Calibri"/>
          <w:sz w:val="28"/>
          <w:szCs w:val="28"/>
        </w:rPr>
        <w:t>Zasada równości kobiet i mężczyzn</w:t>
      </w:r>
      <w:bookmarkEnd w:id="16"/>
    </w:p>
    <w:p w14:paraId="4B2324F1" w14:textId="77777777" w:rsidR="002070A9" w:rsidRDefault="00924E40" w:rsidP="00EC3944">
      <w:pPr>
        <w:numPr>
          <w:ilvl w:val="0"/>
          <w:numId w:val="70"/>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rsidP="00EC3944">
      <w:pPr>
        <w:numPr>
          <w:ilvl w:val="0"/>
          <w:numId w:val="70"/>
        </w:numPr>
        <w:pBdr>
          <w:top w:val="nil"/>
          <w:left w:val="nil"/>
          <w:bottom w:val="nil"/>
          <w:right w:val="nil"/>
          <w:between w:val="nil"/>
        </w:pBdr>
        <w:spacing w:after="120" w:line="288" w:lineRule="auto"/>
        <w:ind w:left="567" w:hanging="425"/>
        <w:jc w:val="both"/>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rsidP="00EC3944">
      <w:pPr>
        <w:pBdr>
          <w:top w:val="nil"/>
          <w:left w:val="nil"/>
          <w:bottom w:val="nil"/>
          <w:right w:val="nil"/>
          <w:between w:val="nil"/>
        </w:pBdr>
        <w:spacing w:after="0" w:line="288" w:lineRule="auto"/>
        <w:ind w:left="567"/>
        <w:jc w:val="both"/>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7" w:name="_Toc176941430"/>
      <w:r>
        <w:rPr>
          <w:rFonts w:ascii="Calibri" w:eastAsia="Calibri" w:hAnsi="Calibri" w:cs="Calibri"/>
          <w:sz w:val="28"/>
          <w:szCs w:val="28"/>
        </w:rPr>
        <w:t>Zasada równości szans i niedyskryminacji, w tym dostępności dla osób z niepełnosprawnościami</w:t>
      </w:r>
      <w:bookmarkEnd w:id="17"/>
    </w:p>
    <w:p w14:paraId="4E6EF690"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Zgodność projektów z Kartą Praw Podstawowych Unii Europejskiej na etapie oceny wniosku należy rozumieć jako brak sprzeczności pomiędzy zapisami projektu 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rsidP="00EC3944">
      <w:pPr>
        <w:numPr>
          <w:ilvl w:val="0"/>
          <w:numId w:val="7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w:t>
      </w:r>
      <w:r>
        <w:rPr>
          <w:color w:val="000000"/>
          <w:sz w:val="24"/>
          <w:szCs w:val="24"/>
        </w:rPr>
        <w:lastRenderedPageBreak/>
        <w:t>się to wyrażać w konkretnym zakresie interwencji mającym na celu nie tylko wspieranie równości szans kobiet i mężczyzn na rynku pracy, ale także zapewnienie 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76941431"/>
      <w:r>
        <w:rPr>
          <w:rFonts w:ascii="Calibri" w:eastAsia="Calibri" w:hAnsi="Calibri" w:cs="Calibri"/>
          <w:sz w:val="28"/>
          <w:szCs w:val="28"/>
        </w:rPr>
        <w:t>Zasada zrównoważonego rozwoju i DNSH</w:t>
      </w:r>
      <w:bookmarkEnd w:id="18"/>
    </w:p>
    <w:p w14:paraId="039259C9"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15721F6F"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Projekty muszą być realizowane zgodnie z zasadą DNSH. Wnioskodawca powinien wykazać zgodność z zasadą poprzez opisanie w dokumentacji aplikacyjnej różnorodnych środków, dobranych odpowiednio do specyfiki i zakresu rzeczowego projektu, </w:t>
      </w:r>
      <w:r w:rsidR="00EC3944">
        <w:rPr>
          <w:color w:val="000000"/>
          <w:sz w:val="24"/>
          <w:szCs w:val="24"/>
        </w:rPr>
        <w:br/>
      </w:r>
      <w:r>
        <w:rPr>
          <w:color w:val="000000"/>
          <w:sz w:val="24"/>
          <w:szCs w:val="24"/>
        </w:rPr>
        <w:t>a podejmowane działania w projekcie nie powinny powodować poważnych szkód dla celów środowiskowych w rozumieniu artykułu 17 Rozporządzenia ds. Taksonomii.</w:t>
      </w:r>
    </w:p>
    <w:p w14:paraId="0F9CFA1A" w14:textId="77777777"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będą weryfikowane pod względem ich zgodności z zasadą DNSH na każdym etapie ich realizacji.</w:t>
      </w:r>
    </w:p>
    <w:p w14:paraId="14336681" w14:textId="562C9906" w:rsidR="002070A9" w:rsidRDefault="00924E40" w:rsidP="00EC3944">
      <w:pPr>
        <w:numPr>
          <w:ilvl w:val="0"/>
          <w:numId w:val="5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Inwestycja będąca przedmiotem projektu powinna być zaprojektowana i zrealizowana </w:t>
      </w:r>
      <w:r w:rsidR="00EC3944">
        <w:rPr>
          <w:color w:val="000000"/>
          <w:sz w:val="24"/>
          <w:szCs w:val="24"/>
        </w:rPr>
        <w:br/>
      </w:r>
      <w:r>
        <w:rPr>
          <w:color w:val="000000"/>
          <w:sz w:val="24"/>
          <w:szCs w:val="24"/>
        </w:rPr>
        <w:t>z uwzględnieniem zachowania istniejących siedlisk dla ptaków i nietoperzy wewnątrz i na budynkach oraz z uwzględnieniem tworzenia nowych siedlisk.</w:t>
      </w:r>
    </w:p>
    <w:p w14:paraId="12F0190A" w14:textId="77777777" w:rsidR="009701D3" w:rsidRDefault="009701D3" w:rsidP="00EC3944">
      <w:pPr>
        <w:spacing w:after="120" w:line="288" w:lineRule="auto"/>
        <w:ind w:left="142"/>
        <w:jc w:val="both"/>
        <w:rPr>
          <w:sz w:val="24"/>
          <w:szCs w:val="24"/>
        </w:rPr>
      </w:pPr>
    </w:p>
    <w:p w14:paraId="1FFD54A0" w14:textId="77777777" w:rsidR="002070A9" w:rsidRDefault="00924E40" w:rsidP="00EC3944">
      <w:pPr>
        <w:spacing w:after="120" w:line="288" w:lineRule="auto"/>
        <w:ind w:left="142"/>
        <w:jc w:val="both"/>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9" w:name="_Toc176941432"/>
      <w:r w:rsidR="00924E40">
        <w:rPr>
          <w:rFonts w:ascii="Calibri" w:eastAsia="Calibri" w:hAnsi="Calibri" w:cs="Calibri"/>
          <w:color w:val="FFFFFF"/>
          <w:sz w:val="48"/>
          <w:szCs w:val="48"/>
        </w:rPr>
        <w:t>Procedura wyboru projektów</w:t>
      </w:r>
      <w:bookmarkEnd w:id="19"/>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6941433"/>
      <w:r>
        <w:rPr>
          <w:rFonts w:ascii="Calibri" w:eastAsia="Calibri" w:hAnsi="Calibri" w:cs="Calibri"/>
          <w:sz w:val="28"/>
          <w:szCs w:val="28"/>
        </w:rPr>
        <w:t>Nabór i złożenie wniosku</w:t>
      </w:r>
      <w:bookmarkEnd w:id="20"/>
    </w:p>
    <w:p w14:paraId="2A8BF02E"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Przygotowywanie wniosków w LSI 2021+ możliwe jest od dnia ogłoszenia naboru.</w:t>
      </w:r>
    </w:p>
    <w:p w14:paraId="5589EC4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7E318DBD"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rsidP="00EC3944">
      <w:pPr>
        <w:numPr>
          <w:ilvl w:val="2"/>
          <w:numId w:val="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dopuszczalne formaty załączników to: csv, doc, docx, gif, jpg, jpeg, odf, ods, odt, pdf, png, xls, xlsx, txt, zip (dostęp do plików nie może być zabezpieczony hasłem),</w:t>
      </w:r>
    </w:p>
    <w:p w14:paraId="7E87FE47"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maksymalna wielkość jednego załącznika wynosi 20 megabajtów,</w:t>
      </w:r>
    </w:p>
    <w:p w14:paraId="4232D551"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każdy załącznik należy umieścić w osobnym pliku,</w:t>
      </w:r>
    </w:p>
    <w:p w14:paraId="332E5114"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 przypadku konieczności załączenia więcej niż jednego pliku pod jedną pozycją w części dziewiątej wniosku, pliki te należy spakować do formatu „zip/rar” i załączyć pod stosowną pozycją,</w:t>
      </w:r>
    </w:p>
    <w:p w14:paraId="12E93F24" w14:textId="77777777" w:rsidR="002070A9" w:rsidRDefault="00924E40" w:rsidP="00EC3944">
      <w:pPr>
        <w:numPr>
          <w:ilvl w:val="0"/>
          <w:numId w:val="69"/>
        </w:numPr>
        <w:pBdr>
          <w:top w:val="nil"/>
          <w:left w:val="nil"/>
          <w:bottom w:val="nil"/>
          <w:right w:val="nil"/>
          <w:between w:val="nil"/>
        </w:pBdr>
        <w:spacing w:after="120" w:line="288" w:lineRule="auto"/>
        <w:ind w:left="993" w:hanging="426"/>
        <w:jc w:val="both"/>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rsidP="00EC3944">
      <w:pPr>
        <w:spacing w:after="120" w:line="288" w:lineRule="auto"/>
        <w:ind w:left="567"/>
        <w:jc w:val="both"/>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rsidP="00EC3944">
      <w:pPr>
        <w:spacing w:after="120" w:line="288" w:lineRule="auto"/>
        <w:ind w:left="567"/>
        <w:jc w:val="both"/>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Pr="0099553E" w:rsidRDefault="00924E40" w:rsidP="00EC3944">
      <w:pPr>
        <w:numPr>
          <w:ilvl w:val="0"/>
          <w:numId w:val="25"/>
        </w:numPr>
        <w:pBdr>
          <w:top w:val="nil"/>
          <w:left w:val="nil"/>
          <w:bottom w:val="nil"/>
          <w:right w:val="nil"/>
          <w:between w:val="nil"/>
        </w:pBdr>
        <w:spacing w:after="120" w:line="288" w:lineRule="auto"/>
        <w:ind w:left="567" w:hanging="425"/>
        <w:jc w:val="both"/>
        <w:rPr>
          <w:sz w:val="24"/>
          <w:szCs w:val="24"/>
        </w:rPr>
      </w:pPr>
      <w:r>
        <w:rPr>
          <w:color w:val="000000"/>
          <w:sz w:val="24"/>
          <w:szCs w:val="24"/>
        </w:rPr>
        <w:t xml:space="preserve">W ramach naboru Wnioskodawca </w:t>
      </w:r>
      <w:r w:rsidRPr="0099553E">
        <w:rPr>
          <w:sz w:val="24"/>
          <w:szCs w:val="24"/>
        </w:rPr>
        <w:t xml:space="preserve">może złożyć jeden </w:t>
      </w:r>
      <w:r w:rsidR="00627D7E" w:rsidRPr="0099553E">
        <w:rPr>
          <w:sz w:val="24"/>
          <w:szCs w:val="24"/>
        </w:rPr>
        <w:t>lub więcej wniosków</w:t>
      </w:r>
      <w:r w:rsidR="00627D7E" w:rsidRPr="0099553E">
        <w:rPr>
          <w:rStyle w:val="Odwoanieprzypisudolnego"/>
          <w:sz w:val="24"/>
          <w:szCs w:val="24"/>
        </w:rPr>
        <w:footnoteReference w:id="10"/>
      </w:r>
      <w:r w:rsidR="00627D7E" w:rsidRPr="0099553E">
        <w:rPr>
          <w:sz w:val="24"/>
          <w:szCs w:val="24"/>
        </w:rPr>
        <w:t xml:space="preserve">. </w:t>
      </w:r>
    </w:p>
    <w:p w14:paraId="630161B3"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70058ACB"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w:t>
      </w:r>
      <w:r w:rsidR="007F7E65">
        <w:rPr>
          <w:color w:val="000000"/>
          <w:sz w:val="24"/>
          <w:szCs w:val="24"/>
        </w:rPr>
        <w:t>etowej LGD</w:t>
      </w:r>
      <w:r>
        <w:rPr>
          <w:color w:val="000000"/>
          <w:sz w:val="24"/>
          <w:szCs w:val="24"/>
        </w:rPr>
        <w:t>.</w:t>
      </w:r>
    </w:p>
    <w:p w14:paraId="3B43172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Wnioskodawcy mogą złożyć inne załączniki istotne z ich punktu widzenia.</w:t>
      </w:r>
    </w:p>
    <w:p w14:paraId="17DC2F7A" w14:textId="07F761C3"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Komunikacja z Wnioskodawcą odbywa się za pomocą modułu korespondencji w systemie LSI 2021+. Wezwanie oraz wszystkie pisma dotyczące wyników oceny </w:t>
      </w:r>
      <w:r w:rsidR="00EC3944">
        <w:rPr>
          <w:color w:val="000000"/>
          <w:sz w:val="24"/>
          <w:szCs w:val="24"/>
        </w:rPr>
        <w:br/>
      </w:r>
      <w:r>
        <w:rPr>
          <w:color w:val="000000"/>
          <w:sz w:val="24"/>
          <w:szCs w:val="24"/>
        </w:rPr>
        <w:t>i ostatecznej weryfikacji kwalifikowalności będą przekazane w wyżej wskazanym module. Jednocześnie przedmiotowe pisma zostaną wysłane do Wnioskodawcy za pośrednictwem ePUAP.</w:t>
      </w:r>
    </w:p>
    <w:p w14:paraId="75161BE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b/>
          <w:color w:val="000000"/>
          <w:sz w:val="24"/>
          <w:szCs w:val="24"/>
          <w:u w:val="single"/>
        </w:rPr>
      </w:pPr>
      <w:r>
        <w:rPr>
          <w:color w:val="000000"/>
          <w:sz w:val="24"/>
          <w:szCs w:val="24"/>
        </w:rPr>
        <w:t>Wnioskodawca składając wniosek wyraża zgodę na komunikację  poprzez LSI 2021+ lub za pośrednictwem ePUAP.</w:t>
      </w:r>
    </w:p>
    <w:p w14:paraId="6C398326" w14:textId="386E1C81"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w:t>
      </w:r>
      <w:r w:rsidR="00EC3944">
        <w:rPr>
          <w:color w:val="000000"/>
          <w:sz w:val="24"/>
          <w:szCs w:val="24"/>
        </w:rPr>
        <w:br/>
      </w:r>
      <w:r>
        <w:rPr>
          <w:color w:val="000000"/>
          <w:sz w:val="24"/>
          <w:szCs w:val="24"/>
        </w:rPr>
        <w:t xml:space="preserve">z Procedurą wyboru i oceny operacji stosowaną w danej LGD.   </w:t>
      </w:r>
    </w:p>
    <w:p w14:paraId="756929FC" w14:textId="58E67336"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lastRenderedPageBreak/>
        <w:t xml:space="preserve">LKW, zawierające kryteria formalne oraz kryteria merytoryczne, stanowią Załącznik nr </w:t>
      </w:r>
      <w:r w:rsidR="0099553E">
        <w:rPr>
          <w:color w:val="000000"/>
          <w:sz w:val="24"/>
          <w:szCs w:val="24"/>
        </w:rPr>
        <w:t>2</w:t>
      </w:r>
      <w:r>
        <w:rPr>
          <w:color w:val="000000"/>
          <w:sz w:val="24"/>
          <w:szCs w:val="24"/>
        </w:rPr>
        <w:t xml:space="preserve"> do Regulaminu naboru wniosków. </w:t>
      </w:r>
    </w:p>
    <w:p w14:paraId="5E7C9903"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D45897"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rsidP="00EC3944">
      <w:pPr>
        <w:numPr>
          <w:ilvl w:val="0"/>
          <w:numId w:val="25"/>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4"/>
      <w:r>
        <w:rPr>
          <w:rFonts w:ascii="Calibri" w:eastAsia="Calibri" w:hAnsi="Calibri" w:cs="Calibri"/>
          <w:sz w:val="28"/>
          <w:szCs w:val="28"/>
        </w:rPr>
        <w:t>Ocena formalna i merytoryczna projektów – przeprowadzana przez LGD</w:t>
      </w:r>
      <w:bookmarkEnd w:id="21"/>
    </w:p>
    <w:p w14:paraId="77EF23C5"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D45897"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lastRenderedPageBreak/>
        <w:t>Jeżeli operacja nie spełnia warunków formalnych i/lub zgodności z LSR i/lub warunków udzielenia wsparcia nie podlega ocenie operacji wg LKW (Lokalnych Kryteriów Wyboru).</w:t>
      </w:r>
    </w:p>
    <w:p w14:paraId="59419BEA" w14:textId="77777777" w:rsidR="002070A9" w:rsidRDefault="00924E40" w:rsidP="00EC3944">
      <w:pPr>
        <w:numPr>
          <w:ilvl w:val="1"/>
          <w:numId w:val="34"/>
        </w:numPr>
        <w:pBdr>
          <w:top w:val="nil"/>
          <w:left w:val="nil"/>
          <w:bottom w:val="nil"/>
          <w:right w:val="nil"/>
          <w:between w:val="nil"/>
        </w:pBdr>
        <w:spacing w:after="120" w:line="288" w:lineRule="auto"/>
        <w:ind w:left="641" w:hanging="357"/>
        <w:jc w:val="both"/>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5"/>
      <w:r>
        <w:rPr>
          <w:rFonts w:ascii="Calibri" w:eastAsia="Calibri" w:hAnsi="Calibri" w:cs="Calibri"/>
          <w:sz w:val="28"/>
          <w:szCs w:val="28"/>
        </w:rPr>
        <w:t>Weryfikacja poprawności procesu naboru i oceny wniosków przez LGD – przeprowadzana przez DOW</w:t>
      </w:r>
      <w:bookmarkEnd w:id="22"/>
    </w:p>
    <w:p w14:paraId="42AD3B35" w14:textId="77777777"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3485036" w:rsidR="002070A9" w:rsidRDefault="00924E40" w:rsidP="00EC3944">
      <w:pPr>
        <w:numPr>
          <w:ilvl w:val="0"/>
          <w:numId w:val="58"/>
        </w:numPr>
        <w:pBdr>
          <w:top w:val="nil"/>
          <w:left w:val="nil"/>
          <w:bottom w:val="nil"/>
          <w:right w:val="nil"/>
          <w:between w:val="nil"/>
        </w:pBdr>
        <w:spacing w:after="0" w:line="288" w:lineRule="auto"/>
        <w:jc w:val="both"/>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t>
      </w:r>
      <w:r w:rsidR="00EC3944">
        <w:rPr>
          <w:color w:val="000000"/>
          <w:sz w:val="24"/>
          <w:szCs w:val="24"/>
        </w:rPr>
        <w:br/>
      </w:r>
      <w:r>
        <w:rPr>
          <w:color w:val="000000"/>
          <w:sz w:val="24"/>
          <w:szCs w:val="24"/>
        </w:rPr>
        <w:t xml:space="preserve">w sprawie wyboru operacji, określonego w art. 33 ust. 3 lit. b rozporządzenia 2021/1060. </w:t>
      </w:r>
    </w:p>
    <w:p w14:paraId="264AD85A" w14:textId="77777777" w:rsidR="002070A9" w:rsidRDefault="00924E40" w:rsidP="00EC3944">
      <w:pPr>
        <w:numPr>
          <w:ilvl w:val="0"/>
          <w:numId w:val="58"/>
        </w:numPr>
        <w:pBdr>
          <w:top w:val="nil"/>
          <w:left w:val="nil"/>
          <w:bottom w:val="nil"/>
          <w:right w:val="nil"/>
          <w:between w:val="nil"/>
        </w:pBdr>
        <w:spacing w:after="120" w:line="288" w:lineRule="auto"/>
        <w:jc w:val="both"/>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6"/>
      <w:r>
        <w:rPr>
          <w:rFonts w:ascii="Calibri" w:eastAsia="Calibri" w:hAnsi="Calibri" w:cs="Calibri"/>
          <w:sz w:val="28"/>
          <w:szCs w:val="28"/>
        </w:rPr>
        <w:t>Ostateczna weryfikacja kwalifikowalności – przeprowadzana przez DWP</w:t>
      </w:r>
      <w:bookmarkEnd w:id="23"/>
    </w:p>
    <w:p w14:paraId="567B91E6"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383A0F2B"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t>
      </w:r>
      <w:r w:rsidR="00EC3944">
        <w:rPr>
          <w:color w:val="000000"/>
          <w:sz w:val="24"/>
          <w:szCs w:val="24"/>
        </w:rPr>
        <w:br/>
      </w:r>
      <w:r>
        <w:rPr>
          <w:color w:val="000000"/>
          <w:sz w:val="24"/>
          <w:szCs w:val="24"/>
        </w:rPr>
        <w:t xml:space="preserve">w dokumentacji aplikacyjnej w wyznaczonym terminie, pod rygorem pozostawienia </w:t>
      </w:r>
      <w:r>
        <w:rPr>
          <w:color w:val="000000"/>
          <w:sz w:val="24"/>
          <w:szCs w:val="24"/>
        </w:rPr>
        <w:lastRenderedPageBreak/>
        <w:t xml:space="preserve">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rsidP="00EC3944">
      <w:pPr>
        <w:numPr>
          <w:ilvl w:val="0"/>
          <w:numId w:val="33"/>
        </w:numPr>
        <w:pBdr>
          <w:top w:val="nil"/>
          <w:left w:val="nil"/>
          <w:bottom w:val="nil"/>
          <w:right w:val="nil"/>
          <w:between w:val="nil"/>
        </w:pBdr>
        <w:spacing w:after="120" w:line="288" w:lineRule="auto"/>
        <w:ind w:left="714" w:hanging="357"/>
        <w:jc w:val="both"/>
        <w:rPr>
          <w:color w:val="000000"/>
          <w:sz w:val="24"/>
          <w:szCs w:val="24"/>
        </w:rPr>
      </w:pPr>
      <w:r>
        <w:rPr>
          <w:color w:val="000000"/>
          <w:sz w:val="24"/>
          <w:szCs w:val="24"/>
        </w:rPr>
        <w:t>DPR przygotowuje ostateczną listę projektów wybranych do dofinansowania.</w:t>
      </w:r>
    </w:p>
    <w:p w14:paraId="2684A099" w14:textId="77777777" w:rsidR="002070A9" w:rsidRDefault="00924E40" w:rsidP="00EC3944">
      <w:pPr>
        <w:numPr>
          <w:ilvl w:val="0"/>
          <w:numId w:val="33"/>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rsidP="00EC3944">
      <w:pPr>
        <w:numPr>
          <w:ilvl w:val="0"/>
          <w:numId w:val="33"/>
        </w:numPr>
        <w:pBdr>
          <w:top w:val="nil"/>
          <w:left w:val="nil"/>
          <w:bottom w:val="nil"/>
          <w:right w:val="nil"/>
          <w:between w:val="nil"/>
        </w:pBdr>
        <w:spacing w:after="120" w:line="288" w:lineRule="auto"/>
        <w:ind w:left="709"/>
        <w:jc w:val="both"/>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w:t>
      </w:r>
      <w:r>
        <w:rPr>
          <w:color w:val="000000"/>
          <w:sz w:val="24"/>
          <w:szCs w:val="24"/>
        </w:rPr>
        <w:lastRenderedPageBreak/>
        <w:t xml:space="preserve">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7"/>
      <w:r>
        <w:rPr>
          <w:rFonts w:ascii="Calibri" w:eastAsia="Calibri" w:hAnsi="Calibri" w:cs="Calibri"/>
          <w:sz w:val="28"/>
          <w:szCs w:val="28"/>
        </w:rPr>
        <w:t>Wybór projektów do dofinansowania</w:t>
      </w:r>
      <w:bookmarkEnd w:id="24"/>
    </w:p>
    <w:p w14:paraId="2DEAAA80" w14:textId="77777777" w:rsidR="002070A9" w:rsidRDefault="00924E40" w:rsidP="00EC3944">
      <w:pPr>
        <w:numPr>
          <w:ilvl w:val="0"/>
          <w:numId w:val="51"/>
        </w:numPr>
        <w:pBdr>
          <w:top w:val="nil"/>
          <w:left w:val="nil"/>
          <w:bottom w:val="nil"/>
          <w:right w:val="nil"/>
          <w:between w:val="nil"/>
        </w:pBdr>
        <w:spacing w:after="120"/>
        <w:ind w:left="714" w:hanging="357"/>
        <w:jc w:val="both"/>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rsidP="00EC3944">
      <w:pPr>
        <w:numPr>
          <w:ilvl w:val="0"/>
          <w:numId w:val="5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2664BFA9" w:rsidR="002070A9" w:rsidRDefault="00924E40" w:rsidP="00EC3944">
      <w:pPr>
        <w:numPr>
          <w:ilvl w:val="0"/>
          <w:numId w:val="51"/>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w:t>
      </w:r>
      <w:r w:rsidR="00EC3944">
        <w:rPr>
          <w:color w:val="000000"/>
          <w:sz w:val="24"/>
          <w:szCs w:val="24"/>
        </w:rPr>
        <w:br/>
      </w:r>
      <w:r>
        <w:rPr>
          <w:color w:val="000000"/>
          <w:sz w:val="24"/>
          <w:szCs w:val="24"/>
        </w:rPr>
        <w:t xml:space="preserve">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76941438"/>
      <w:r>
        <w:rPr>
          <w:rFonts w:ascii="Calibri" w:eastAsia="Calibri" w:hAnsi="Calibri" w:cs="Calibri"/>
          <w:sz w:val="28"/>
          <w:szCs w:val="28"/>
        </w:rPr>
        <w:t>Procedura odwoławcza</w:t>
      </w:r>
      <w:bookmarkEnd w:id="25"/>
    </w:p>
    <w:p w14:paraId="3D361BE8" w14:textId="77777777" w:rsidR="002070A9" w:rsidRDefault="00924E40" w:rsidP="00EC3944">
      <w:pPr>
        <w:numPr>
          <w:ilvl w:val="0"/>
          <w:numId w:val="44"/>
        </w:numPr>
        <w:pBdr>
          <w:top w:val="nil"/>
          <w:left w:val="nil"/>
          <w:bottom w:val="nil"/>
          <w:right w:val="nil"/>
          <w:between w:val="nil"/>
        </w:pBdr>
        <w:spacing w:after="0" w:line="288" w:lineRule="auto"/>
        <w:ind w:left="357" w:hanging="215"/>
        <w:jc w:val="both"/>
        <w:rPr>
          <w:color w:val="000000"/>
          <w:sz w:val="24"/>
          <w:szCs w:val="24"/>
        </w:rPr>
      </w:pPr>
      <w:r>
        <w:rPr>
          <w:color w:val="000000"/>
          <w:sz w:val="24"/>
          <w:szCs w:val="24"/>
        </w:rPr>
        <w:t>Procedura odwoławcza od wyniku oceny przeprowadzonej przez LGD:</w:t>
      </w:r>
    </w:p>
    <w:p w14:paraId="5FD977C2" w14:textId="77777777" w:rsidR="002070A9" w:rsidRDefault="00924E40" w:rsidP="00EC3944">
      <w:pPr>
        <w:numPr>
          <w:ilvl w:val="0"/>
          <w:numId w:val="46"/>
        </w:numPr>
        <w:pBdr>
          <w:top w:val="nil"/>
          <w:left w:val="nil"/>
          <w:bottom w:val="nil"/>
          <w:right w:val="nil"/>
          <w:between w:val="nil"/>
        </w:pBdr>
        <w:spacing w:after="0" w:line="288" w:lineRule="auto"/>
        <w:jc w:val="both"/>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rsidP="00EC3944">
      <w:pPr>
        <w:numPr>
          <w:ilvl w:val="0"/>
          <w:numId w:val="46"/>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rsidP="00EC3944">
      <w:pPr>
        <w:numPr>
          <w:ilvl w:val="0"/>
          <w:numId w:val="44"/>
        </w:numPr>
        <w:pBdr>
          <w:top w:val="nil"/>
          <w:left w:val="nil"/>
          <w:bottom w:val="nil"/>
          <w:right w:val="nil"/>
          <w:between w:val="nil"/>
        </w:pBdr>
        <w:spacing w:after="0" w:line="288" w:lineRule="auto"/>
        <w:ind w:hanging="218"/>
        <w:jc w:val="both"/>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02198479" w:rsidR="002070A9" w:rsidRPr="003461D4" w:rsidRDefault="003461D4" w:rsidP="00EC3944">
      <w:pPr>
        <w:pStyle w:val="Akapitzlist"/>
        <w:numPr>
          <w:ilvl w:val="0"/>
          <w:numId w:val="72"/>
        </w:numPr>
        <w:pBdr>
          <w:top w:val="nil"/>
          <w:left w:val="nil"/>
          <w:bottom w:val="nil"/>
          <w:right w:val="nil"/>
          <w:between w:val="nil"/>
        </w:pBdr>
        <w:spacing w:after="0" w:line="288" w:lineRule="auto"/>
        <w:jc w:val="both"/>
        <w:rPr>
          <w:color w:val="000000"/>
          <w:sz w:val="24"/>
          <w:szCs w:val="24"/>
        </w:rPr>
      </w:pPr>
      <w:r w:rsidRPr="003461D4">
        <w:rPr>
          <w:color w:val="000000"/>
          <w:sz w:val="24"/>
          <w:szCs w:val="24"/>
        </w:rPr>
        <w:t xml:space="preserve">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w:t>
      </w:r>
      <w:r w:rsidR="00EC3944">
        <w:rPr>
          <w:color w:val="000000"/>
          <w:sz w:val="24"/>
          <w:szCs w:val="24"/>
        </w:rPr>
        <w:br/>
      </w:r>
      <w:r w:rsidRPr="003461D4">
        <w:rPr>
          <w:color w:val="000000"/>
          <w:sz w:val="24"/>
          <w:szCs w:val="24"/>
        </w:rPr>
        <w:t>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rsidP="00EC3944">
      <w:pPr>
        <w:numPr>
          <w:ilvl w:val="0"/>
          <w:numId w:val="44"/>
        </w:numPr>
        <w:pBdr>
          <w:top w:val="nil"/>
          <w:left w:val="nil"/>
          <w:bottom w:val="nil"/>
          <w:right w:val="nil"/>
          <w:between w:val="nil"/>
        </w:pBdr>
        <w:spacing w:after="0" w:line="288" w:lineRule="auto"/>
        <w:ind w:hanging="218"/>
        <w:jc w:val="both"/>
        <w:rPr>
          <w:color w:val="000000"/>
          <w:sz w:val="24"/>
          <w:szCs w:val="24"/>
        </w:rPr>
      </w:pPr>
      <w:r>
        <w:rPr>
          <w:color w:val="000000"/>
          <w:sz w:val="24"/>
          <w:szCs w:val="24"/>
        </w:rPr>
        <w:t>Procedura odwoławcza od wyniku ostatecznej weryfikacji kwalifikowalności przeprowadzanej przez DWP:</w:t>
      </w:r>
    </w:p>
    <w:p w14:paraId="7893DB6A" w14:textId="77777777" w:rsidR="003461D4" w:rsidRPr="003461D4" w:rsidRDefault="003461D4" w:rsidP="00EC3944">
      <w:pPr>
        <w:numPr>
          <w:ilvl w:val="1"/>
          <w:numId w:val="49"/>
        </w:numPr>
        <w:pBdr>
          <w:top w:val="nil"/>
          <w:left w:val="nil"/>
          <w:bottom w:val="nil"/>
          <w:right w:val="nil"/>
          <w:between w:val="nil"/>
        </w:pBdr>
        <w:spacing w:after="0" w:line="288" w:lineRule="auto"/>
        <w:ind w:left="709"/>
        <w:jc w:val="both"/>
        <w:rPr>
          <w:sz w:val="24"/>
          <w:szCs w:val="24"/>
        </w:rPr>
      </w:pPr>
      <w:r w:rsidRPr="003461D4">
        <w:rPr>
          <w:sz w:val="24"/>
          <w:szCs w:val="24"/>
        </w:rPr>
        <w:t xml:space="preserve">ZWW informuje Wnioskodawcę o odmowie udzielenia wsparcia, w przypadku, gdy nie są spełnione warunki udzielenia wsparcia na wdrażanie LSR. </w:t>
      </w:r>
    </w:p>
    <w:p w14:paraId="5B557634" w14:textId="77777777" w:rsidR="002070A9" w:rsidRPr="003461D4" w:rsidRDefault="00182415" w:rsidP="00EC3944">
      <w:pPr>
        <w:numPr>
          <w:ilvl w:val="1"/>
          <w:numId w:val="49"/>
        </w:numPr>
        <w:pBdr>
          <w:top w:val="nil"/>
          <w:left w:val="nil"/>
          <w:bottom w:val="nil"/>
          <w:right w:val="nil"/>
          <w:between w:val="nil"/>
        </w:pBdr>
        <w:spacing w:after="0" w:line="288" w:lineRule="auto"/>
        <w:ind w:left="709"/>
        <w:jc w:val="both"/>
        <w:rPr>
          <w:sz w:val="24"/>
          <w:szCs w:val="24"/>
        </w:rPr>
      </w:pPr>
      <w:r w:rsidRPr="003461D4">
        <w:rPr>
          <w:sz w:val="24"/>
          <w:szCs w:val="24"/>
        </w:rPr>
        <w:t>N</w:t>
      </w:r>
      <w:r w:rsidR="00026747" w:rsidRPr="003461D4">
        <w:rPr>
          <w:sz w:val="24"/>
          <w:szCs w:val="24"/>
        </w:rPr>
        <w:t>ie przewiduje się środków odwoławczych w przypadku</w:t>
      </w:r>
      <w:r w:rsidR="001E5671" w:rsidRPr="003461D4">
        <w:rPr>
          <w:sz w:val="24"/>
          <w:szCs w:val="24"/>
        </w:rPr>
        <w:t>,</w:t>
      </w:r>
      <w:r w:rsidR="00026747" w:rsidRPr="003461D4">
        <w:rPr>
          <w:sz w:val="24"/>
          <w:szCs w:val="24"/>
        </w:rPr>
        <w:t xml:space="preserve"> gdy </w:t>
      </w:r>
      <w:r w:rsidR="001E5671" w:rsidRPr="003461D4">
        <w:rPr>
          <w:sz w:val="24"/>
          <w:szCs w:val="24"/>
        </w:rPr>
        <w:t xml:space="preserve">ostateczna </w:t>
      </w:r>
      <w:r w:rsidR="00026747" w:rsidRPr="003461D4">
        <w:rPr>
          <w:sz w:val="24"/>
          <w:szCs w:val="24"/>
        </w:rPr>
        <w:t>weryfikacja kwalifikowalności</w:t>
      </w:r>
      <w:r w:rsidR="001E5671" w:rsidRPr="003461D4">
        <w:rPr>
          <w:sz w:val="24"/>
          <w:szCs w:val="24"/>
        </w:rPr>
        <w:t xml:space="preserve"> jest negatywna.</w:t>
      </w:r>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6941439"/>
      <w:r w:rsidR="00924E40">
        <w:rPr>
          <w:rFonts w:ascii="Calibri" w:eastAsia="Calibri" w:hAnsi="Calibri" w:cs="Calibri"/>
          <w:color w:val="FFFFFF"/>
          <w:sz w:val="48"/>
          <w:szCs w:val="48"/>
        </w:rPr>
        <w:t>Umowa o dofinansowanie</w:t>
      </w:r>
      <w:bookmarkEnd w:id="26"/>
    </w:p>
    <w:p w14:paraId="54D9DA5C" w14:textId="77777777" w:rsidR="002070A9" w:rsidRDefault="00924E40" w:rsidP="00EC3944">
      <w:pPr>
        <w:spacing w:after="120" w:line="288" w:lineRule="auto"/>
        <w:jc w:val="both"/>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rsidP="00EC3944">
      <w:pPr>
        <w:spacing w:after="120" w:line="288" w:lineRule="auto"/>
        <w:jc w:val="both"/>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rsidP="00EC3944">
      <w:pPr>
        <w:spacing w:after="120" w:line="288" w:lineRule="auto"/>
        <w:jc w:val="both"/>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może zostać podpisana jeżeli:</w:t>
      </w:r>
    </w:p>
    <w:p w14:paraId="570CA19D"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weryfikacja formalna i prawna dokumentów niezbędnych do sporządzenia umowy zakończona jest wynikiem pozytywnym,</w:t>
      </w:r>
    </w:p>
    <w:p w14:paraId="29B73D2D" w14:textId="27FBD3C6"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w:t>
      </w:r>
      <w:r w:rsidR="00EC3944">
        <w:rPr>
          <w:color w:val="000000"/>
          <w:sz w:val="24"/>
          <w:szCs w:val="24"/>
        </w:rPr>
        <w:br/>
      </w:r>
      <w:r>
        <w:rPr>
          <w:color w:val="000000"/>
          <w:sz w:val="24"/>
          <w:szCs w:val="24"/>
        </w:rPr>
        <w:t>o finansach publicznych,</w:t>
      </w:r>
    </w:p>
    <w:p w14:paraId="75B2B32C" w14:textId="77777777" w:rsidR="002070A9" w:rsidRDefault="00924E40" w:rsidP="00EC3944">
      <w:pPr>
        <w:numPr>
          <w:ilvl w:val="1"/>
          <w:numId w:val="19"/>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podpisanie umowy nie spowoduje przekroczenia limitu dostępnej alokacji.</w:t>
      </w:r>
    </w:p>
    <w:p w14:paraId="6390984B" w14:textId="629057B3" w:rsidR="002070A9" w:rsidRDefault="0099553E"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rsidP="00EC3944">
      <w:pPr>
        <w:numPr>
          <w:ilvl w:val="2"/>
          <w:numId w:val="63"/>
        </w:numPr>
        <w:pBdr>
          <w:top w:val="nil"/>
          <w:left w:val="nil"/>
          <w:bottom w:val="nil"/>
          <w:right w:val="nil"/>
          <w:between w:val="nil"/>
        </w:pBdr>
        <w:spacing w:after="120" w:line="288" w:lineRule="auto"/>
        <w:ind w:left="567"/>
        <w:jc w:val="both"/>
        <w:rPr>
          <w:color w:val="000000"/>
          <w:sz w:val="24"/>
          <w:szCs w:val="24"/>
        </w:rPr>
      </w:pPr>
      <w:r>
        <w:rPr>
          <w:color w:val="000000"/>
          <w:sz w:val="24"/>
          <w:szCs w:val="24"/>
        </w:rPr>
        <w:t>Wnioskodawca wzywany jest w formie elektronicznej, za pośrednictwem systemu LSI 2021+,</w:t>
      </w:r>
      <w:r>
        <w:rPr>
          <w:color w:val="FF0000"/>
          <w:sz w:val="24"/>
          <w:szCs w:val="24"/>
        </w:rPr>
        <w:t xml:space="preserve"> </w:t>
      </w:r>
      <w:r>
        <w:rPr>
          <w:color w:val="000000"/>
          <w:sz w:val="24"/>
          <w:szCs w:val="24"/>
        </w:rPr>
        <w:t xml:space="preserve">do przesłania w wyżej wymienionym systemie, w terminie 10 dni roboczych, </w:t>
      </w:r>
      <w:r>
        <w:rPr>
          <w:color w:val="000000"/>
          <w:sz w:val="24"/>
          <w:szCs w:val="24"/>
        </w:rPr>
        <w:lastRenderedPageBreak/>
        <w:t>licząc od daty otrzymania informacji o wyborze projektu do dofinansowania, informacji i dokumentów niezbędnych do sporządzenia umowy, w tym:</w:t>
      </w:r>
    </w:p>
    <w:p w14:paraId="5B6CCB7D" w14:textId="77777777" w:rsidR="002070A9" w:rsidRDefault="00924E40" w:rsidP="00EC3944">
      <w:pPr>
        <w:numPr>
          <w:ilvl w:val="0"/>
          <w:numId w:val="65"/>
        </w:numPr>
        <w:pBdr>
          <w:top w:val="nil"/>
          <w:left w:val="nil"/>
          <w:bottom w:val="nil"/>
          <w:right w:val="nil"/>
          <w:between w:val="nil"/>
        </w:pBdr>
        <w:spacing w:after="120" w:line="288" w:lineRule="auto"/>
        <w:ind w:left="992" w:hanging="425"/>
        <w:jc w:val="both"/>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status Wnioskodawcy nie uległ zmianie (jeśli dotyczy),</w:t>
      </w:r>
    </w:p>
    <w:p w14:paraId="2C32851B"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oświadczenia potwierdzającego, iż od dnia złożenia wniosku Wnioskodawca otrzymał /nie otrzymał pomoc/y de minimis. W przypadku otrzymania pomocy </w:t>
      </w:r>
      <w:r>
        <w:rPr>
          <w:color w:val="000000"/>
          <w:sz w:val="24"/>
          <w:szCs w:val="24"/>
        </w:rPr>
        <w:lastRenderedPageBreak/>
        <w:t>de minimis należy przedłożyć kopie aktualnych zaświadczeń o wysokości otrzymanej pomocy de minimis (jeśli dotyczy),</w:t>
      </w:r>
    </w:p>
    <w:p w14:paraId="2929383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braku pomocy publicznej (jeśli dotyczy),</w:t>
      </w:r>
    </w:p>
    <w:p w14:paraId="2D5EAD43"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występowaniu/niewystępowaniu podwójnego finansowania,</w:t>
      </w:r>
    </w:p>
    <w:p w14:paraId="2429B2EA"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kwalifikowalności podatku VAT (jeśli dotyczy),</w:t>
      </w:r>
    </w:p>
    <w:p w14:paraId="77DCF1B7"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złożyć uzupełniony i uaktualniony Załącznik dotyczący oddziaływania na środowisko oraz zasady DNSH,</w:t>
      </w:r>
    </w:p>
    <w:p w14:paraId="260F9E59"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pozwolenia na budowę z klauzulą ostateczności/ zgłoszenia wykonania robót budowlanych wraz z zaświadczeniem organu o niewnoszeniu sprzeciwu/ </w:t>
      </w:r>
      <w:r>
        <w:rPr>
          <w:color w:val="000000"/>
          <w:sz w:val="24"/>
          <w:szCs w:val="24"/>
        </w:rPr>
        <w:lastRenderedPageBreak/>
        <w:t xml:space="preserve">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rsidP="00EC3944">
      <w:pPr>
        <w:numPr>
          <w:ilvl w:val="0"/>
          <w:numId w:val="65"/>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wskazania adresu do korespondencji,</w:t>
      </w:r>
    </w:p>
    <w:p w14:paraId="2297480C" w14:textId="4B76463C" w:rsidR="002070A9" w:rsidRDefault="0099553E"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przedmiot umowy,</w:t>
      </w:r>
    </w:p>
    <w:p w14:paraId="01CDA4B5"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całkowitą wartość projektu,</w:t>
      </w:r>
    </w:p>
    <w:p w14:paraId="493462BC"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wartość dofinansowania,</w:t>
      </w:r>
    </w:p>
    <w:p w14:paraId="79BC9BDD"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obowiązki stron, </w:t>
      </w:r>
    </w:p>
    <w:p w14:paraId="53B46EC3"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sposób rozliczenia projektu,</w:t>
      </w:r>
    </w:p>
    <w:p w14:paraId="4C0A03E2"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warunki przekazywania płatności,</w:t>
      </w:r>
    </w:p>
    <w:p w14:paraId="3743D529"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formę zabezpieczenia prawidłowej realizacji umowy,</w:t>
      </w:r>
    </w:p>
    <w:p w14:paraId="40555A7D"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zasady sprawozdawczości i kontroli,</w:t>
      </w:r>
    </w:p>
    <w:p w14:paraId="257D4A06" w14:textId="77777777" w:rsidR="002070A9" w:rsidRDefault="00924E40" w:rsidP="00EC3944">
      <w:pPr>
        <w:numPr>
          <w:ilvl w:val="3"/>
          <w:numId w:val="17"/>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przesłanki rozwiązania umowy oraz warunki zwrotu dofinansowania.</w:t>
      </w:r>
    </w:p>
    <w:p w14:paraId="528D8F23"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rsidP="00EC3944">
      <w:pPr>
        <w:numPr>
          <w:ilvl w:val="2"/>
          <w:numId w:val="63"/>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6941440"/>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Dokumentacja techniczna projektu powinna być przygotowana zgodnie z obowiązującymi przepisami prawa.</w:t>
      </w:r>
    </w:p>
    <w:p w14:paraId="4D1F8C63" w14:textId="02F82728"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Załącznik dotyczący zasady DNSH stanowi dokument obligatoryjny do wniosku </w:t>
      </w:r>
      <w:r w:rsidR="00EC3944">
        <w:rPr>
          <w:color w:val="000000"/>
          <w:sz w:val="24"/>
          <w:szCs w:val="24"/>
        </w:rPr>
        <w:br/>
      </w:r>
      <w:r>
        <w:rPr>
          <w:color w:val="000000"/>
          <w:sz w:val="24"/>
          <w:szCs w:val="24"/>
        </w:rPr>
        <w:t xml:space="preserve">o dofinansowanie bez względu na typ projektu. </w:t>
      </w:r>
    </w:p>
    <w:p w14:paraId="4E598B34" w14:textId="7B5CF20F" w:rsidR="002070A9" w:rsidRDefault="007F7E65"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kolektory słoneczne i panele fotowoltaiczne na budynkach,</w:t>
      </w:r>
    </w:p>
    <w:p w14:paraId="1A6898EE"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powietrzne pompy ciepła,</w:t>
      </w:r>
    </w:p>
    <w:p w14:paraId="39BF9377"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prace związane z wymianą źródeł i systemów grzewczych w budynkach,</w:t>
      </w:r>
    </w:p>
    <w:p w14:paraId="05890E22"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energooszczędnego oświetlenia ulic i dróg,</w:t>
      </w:r>
    </w:p>
    <w:p w14:paraId="2FA5517A"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obiektów małej architektury i zagospodarowania terenów zielonych,</w:t>
      </w:r>
    </w:p>
    <w:p w14:paraId="74338FD5" w14:textId="77777777" w:rsidR="002070A9" w:rsidRDefault="00924E40" w:rsidP="00EC3944">
      <w:pPr>
        <w:numPr>
          <w:ilvl w:val="0"/>
          <w:numId w:val="45"/>
        </w:numPr>
        <w:pBdr>
          <w:top w:val="nil"/>
          <w:left w:val="nil"/>
          <w:bottom w:val="nil"/>
          <w:right w:val="nil"/>
          <w:between w:val="nil"/>
        </w:pBdr>
        <w:spacing w:after="120" w:line="288" w:lineRule="auto"/>
        <w:ind w:left="1418" w:hanging="425"/>
        <w:jc w:val="both"/>
        <w:rPr>
          <w:color w:val="000000"/>
          <w:sz w:val="24"/>
          <w:szCs w:val="24"/>
        </w:rPr>
      </w:pPr>
      <w:r>
        <w:rPr>
          <w:color w:val="000000"/>
          <w:sz w:val="24"/>
          <w:szCs w:val="24"/>
        </w:rPr>
        <w:t>termomodernizacji budynków.</w:t>
      </w:r>
    </w:p>
    <w:p w14:paraId="7921C866"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inwestycje dotyczące systemów ERTMS, SESAR, ITS, VTMIS i systemu aplikacji telematycznych, oraz dotyczące modernizacji statków i taboru kolejowego, jeżeli proponowane projekty nie obejmują robót fizycznych, które mogą negatywnie wpłynąć na jednolite części wód, </w:t>
      </w:r>
    </w:p>
    <w:p w14:paraId="3FF99523"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termomodernizację budynków, </w:t>
      </w:r>
    </w:p>
    <w:p w14:paraId="64DB33DB"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energooszczędne oświetlenia ulic i dróg, </w:t>
      </w:r>
    </w:p>
    <w:p w14:paraId="68BCA893"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kable teletechniczne instalowane na słupach, </w:t>
      </w:r>
    </w:p>
    <w:p w14:paraId="289BFB87"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ścieżki rowerowe, </w:t>
      </w:r>
    </w:p>
    <w:p w14:paraId="030D21A5"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t xml:space="preserve">zmiany sposobu użytkowania istniejących budynków, </w:t>
      </w:r>
    </w:p>
    <w:p w14:paraId="6A83095A" w14:textId="77777777" w:rsidR="002070A9" w:rsidRDefault="00924E40" w:rsidP="00EC3944">
      <w:pPr>
        <w:numPr>
          <w:ilvl w:val="1"/>
          <w:numId w:val="52"/>
        </w:numPr>
        <w:pBdr>
          <w:top w:val="nil"/>
          <w:left w:val="nil"/>
          <w:bottom w:val="nil"/>
          <w:right w:val="nil"/>
          <w:between w:val="nil"/>
        </w:pBdr>
        <w:spacing w:after="258" w:line="240" w:lineRule="auto"/>
        <w:ind w:left="1418"/>
        <w:jc w:val="both"/>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decyzję o warunkach zabudowy/decyzję o ustaleniu lokalizacji inwestycji celu publicznego lub wypis i wyrys z miejscowego planu zagospodarowania przestrzennego,</w:t>
      </w:r>
    </w:p>
    <w:p w14:paraId="73FD516B"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rsidP="00EC3944">
      <w:pPr>
        <w:pBdr>
          <w:top w:val="nil"/>
          <w:left w:val="nil"/>
          <w:bottom w:val="nil"/>
          <w:right w:val="nil"/>
          <w:between w:val="nil"/>
        </w:pBdr>
        <w:spacing w:after="120" w:line="288" w:lineRule="auto"/>
        <w:ind w:left="993"/>
        <w:jc w:val="both"/>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rsidP="00EC3944">
      <w:pPr>
        <w:numPr>
          <w:ilvl w:val="0"/>
          <w:numId w:val="43"/>
        </w:numPr>
        <w:pBdr>
          <w:top w:val="nil"/>
          <w:left w:val="nil"/>
          <w:bottom w:val="nil"/>
          <w:right w:val="nil"/>
          <w:between w:val="nil"/>
        </w:pBdr>
        <w:spacing w:after="120" w:line="288" w:lineRule="auto"/>
        <w:ind w:left="993" w:hanging="426"/>
        <w:jc w:val="both"/>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jest </w:t>
      </w:r>
      <w:r>
        <w:rPr>
          <w:color w:val="000000"/>
          <w:sz w:val="24"/>
          <w:szCs w:val="24"/>
        </w:rPr>
        <w:lastRenderedPageBreak/>
        <w:t xml:space="preserve">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rsidP="00EC3944">
      <w:pPr>
        <w:numPr>
          <w:ilvl w:val="0"/>
          <w:numId w:val="47"/>
        </w:numPr>
        <w:pBdr>
          <w:top w:val="nil"/>
          <w:left w:val="nil"/>
          <w:bottom w:val="nil"/>
          <w:right w:val="nil"/>
          <w:between w:val="nil"/>
        </w:pBdr>
        <w:spacing w:after="120" w:line="288" w:lineRule="auto"/>
        <w:ind w:left="993" w:hanging="425"/>
        <w:jc w:val="both"/>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rsidP="00EC3944">
      <w:pPr>
        <w:numPr>
          <w:ilvl w:val="1"/>
          <w:numId w:val="11"/>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rsidP="00EC3944">
      <w:pPr>
        <w:pBdr>
          <w:top w:val="nil"/>
          <w:left w:val="nil"/>
          <w:bottom w:val="nil"/>
          <w:right w:val="nil"/>
          <w:between w:val="nil"/>
        </w:pBdr>
        <w:spacing w:after="120" w:line="288" w:lineRule="auto"/>
        <w:ind w:left="567" w:firstLine="1"/>
        <w:jc w:val="both"/>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6941441"/>
      <w:r w:rsidR="00924E40">
        <w:rPr>
          <w:rFonts w:ascii="Calibri" w:eastAsia="Calibri" w:hAnsi="Calibri" w:cs="Calibri"/>
          <w:color w:val="FFFFFF"/>
          <w:sz w:val="48"/>
          <w:szCs w:val="48"/>
        </w:rPr>
        <w:t>Zamówienia publiczne</w:t>
      </w:r>
      <w:bookmarkEnd w:id="28"/>
    </w:p>
    <w:p w14:paraId="308374A7"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rsidP="00EC3944">
      <w:pPr>
        <w:numPr>
          <w:ilvl w:val="0"/>
          <w:numId w:val="21"/>
        </w:numPr>
        <w:pBdr>
          <w:top w:val="nil"/>
          <w:left w:val="nil"/>
          <w:bottom w:val="nil"/>
          <w:right w:val="nil"/>
          <w:between w:val="nil"/>
        </w:pBdr>
        <w:spacing w:after="120" w:line="288" w:lineRule="auto"/>
        <w:jc w:val="both"/>
        <w:rPr>
          <w:color w:val="000000"/>
          <w:sz w:val="24"/>
          <w:szCs w:val="24"/>
        </w:rPr>
      </w:pPr>
      <w:r>
        <w:rPr>
          <w:color w:val="000000"/>
          <w:sz w:val="24"/>
          <w:szCs w:val="24"/>
        </w:rPr>
        <w:t>ustawą PZP – dla Wnioskodawców/Beneficjentów zobligowanych do jej stosowania,</w:t>
      </w:r>
    </w:p>
    <w:p w14:paraId="3714FE6E" w14:textId="77777777" w:rsidR="002070A9" w:rsidRDefault="00924E40" w:rsidP="00EC3944">
      <w:pPr>
        <w:numPr>
          <w:ilvl w:val="0"/>
          <w:numId w:val="21"/>
        </w:numPr>
        <w:pBdr>
          <w:top w:val="nil"/>
          <w:left w:val="nil"/>
          <w:bottom w:val="nil"/>
          <w:right w:val="nil"/>
          <w:between w:val="nil"/>
        </w:pBdr>
        <w:spacing w:after="120" w:line="288" w:lineRule="auto"/>
        <w:jc w:val="both"/>
        <w:rPr>
          <w:color w:val="000000"/>
          <w:sz w:val="24"/>
          <w:szCs w:val="24"/>
        </w:rPr>
      </w:pPr>
      <w:r>
        <w:rPr>
          <w:color w:val="000000"/>
          <w:sz w:val="24"/>
          <w:szCs w:val="24"/>
        </w:rPr>
        <w:t>zasadą konkurencyjności dla Wnioskodawców/Beneficjentów:</w:t>
      </w:r>
    </w:p>
    <w:p w14:paraId="3B718DCA" w14:textId="77777777" w:rsidR="002070A9" w:rsidRDefault="00924E40" w:rsidP="00EC3944">
      <w:pPr>
        <w:numPr>
          <w:ilvl w:val="0"/>
          <w:numId w:val="2"/>
        </w:numPr>
        <w:pBdr>
          <w:top w:val="nil"/>
          <w:left w:val="nil"/>
          <w:bottom w:val="nil"/>
          <w:right w:val="nil"/>
          <w:between w:val="nil"/>
        </w:pBdr>
        <w:spacing w:after="120" w:line="288" w:lineRule="auto"/>
        <w:jc w:val="both"/>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rsidP="00EC3944">
      <w:pPr>
        <w:numPr>
          <w:ilvl w:val="0"/>
          <w:numId w:val="2"/>
        </w:numPr>
        <w:pBdr>
          <w:top w:val="nil"/>
          <w:left w:val="nil"/>
          <w:bottom w:val="nil"/>
          <w:right w:val="nil"/>
          <w:between w:val="nil"/>
        </w:pBdr>
        <w:spacing w:after="120" w:line="288" w:lineRule="auto"/>
        <w:jc w:val="both"/>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rsidP="00EC3944">
      <w:pPr>
        <w:pBdr>
          <w:top w:val="nil"/>
          <w:left w:val="nil"/>
          <w:bottom w:val="nil"/>
          <w:right w:val="nil"/>
          <w:between w:val="nil"/>
        </w:pBdr>
        <w:spacing w:after="120" w:line="288" w:lineRule="auto"/>
        <w:ind w:left="567"/>
        <w:jc w:val="both"/>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rsidP="00EC3944">
      <w:pPr>
        <w:spacing w:after="120" w:line="288" w:lineRule="auto"/>
        <w:ind w:left="567"/>
        <w:jc w:val="both"/>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rsidP="00EC3944">
      <w:pPr>
        <w:spacing w:after="120" w:line="288" w:lineRule="auto"/>
        <w:ind w:left="567"/>
        <w:jc w:val="both"/>
        <w:rPr>
          <w:color w:val="000000"/>
          <w:sz w:val="24"/>
          <w:szCs w:val="24"/>
        </w:rPr>
      </w:pPr>
      <w:r>
        <w:rPr>
          <w:color w:val="000000"/>
          <w:sz w:val="24"/>
          <w:szCs w:val="24"/>
        </w:rPr>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lastRenderedPageBreak/>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rsidP="00EC3944">
      <w:pPr>
        <w:spacing w:after="120" w:line="288" w:lineRule="auto"/>
        <w:ind w:left="567"/>
        <w:jc w:val="both"/>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rsidP="00EC3944">
      <w:pPr>
        <w:spacing w:after="120" w:line="288" w:lineRule="auto"/>
        <w:ind w:left="567"/>
        <w:jc w:val="both"/>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rsidP="00EC3944">
      <w:pPr>
        <w:spacing w:after="120" w:line="288" w:lineRule="auto"/>
        <w:ind w:left="567"/>
        <w:jc w:val="both"/>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możliwe jest udzielenie zamówienia w tym samym czasie (tożsamość czasowa)</w:t>
      </w:r>
    </w:p>
    <w:p w14:paraId="24ECB2A3" w14:textId="77777777" w:rsidR="002070A9" w:rsidRDefault="00924E40" w:rsidP="00EC3944">
      <w:pPr>
        <w:numPr>
          <w:ilvl w:val="0"/>
          <w:numId w:val="57"/>
        </w:numPr>
        <w:spacing w:after="120" w:line="288" w:lineRule="auto"/>
        <w:ind w:left="993" w:hanging="426"/>
        <w:jc w:val="both"/>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rsidP="00EC3944">
      <w:pPr>
        <w:spacing w:after="120" w:line="288" w:lineRule="auto"/>
        <w:ind w:left="567"/>
        <w:jc w:val="both"/>
        <w:rPr>
          <w:color w:val="000000"/>
          <w:sz w:val="24"/>
          <w:szCs w:val="24"/>
        </w:rPr>
      </w:pPr>
      <w:r>
        <w:rPr>
          <w:color w:val="000000"/>
          <w:sz w:val="24"/>
          <w:szCs w:val="24"/>
        </w:rPr>
        <w:t>Tożsamości należy rozumieć zgodnie z wykładnią przepisów ustawy PZP dotyczących szacowania wartości zamówienia.</w:t>
      </w:r>
    </w:p>
    <w:p w14:paraId="0B1ABB20" w14:textId="0502D3F2"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pochodzenia, chyba że takie odniesienie jest uzasadnione przedmiotem zamówienia i został określony zakres równoważności (wskazanie we wniosku lub załącznikach odniesień do wyrobu, źródła, znaków towarowych, nie upoważnia Beneficjenta do ich stosowania w opisie </w:t>
      </w:r>
      <w:r>
        <w:rPr>
          <w:color w:val="000000"/>
          <w:sz w:val="24"/>
          <w:szCs w:val="24"/>
        </w:rPr>
        <w:lastRenderedPageBreak/>
        <w:t>przedmiotu zamówienia bez podania zakresu równoważności). Opisując przedmiot zamówienia przez odniesienie do norm, ocen technicznych, specyfikacji technicznych</w:t>
      </w:r>
      <w:r w:rsidR="00EC3944">
        <w:rPr>
          <w:color w:val="000000"/>
          <w:sz w:val="24"/>
          <w:szCs w:val="24"/>
        </w:rPr>
        <w:br/>
      </w:r>
      <w:r>
        <w:rPr>
          <w:color w:val="000000"/>
          <w:sz w:val="24"/>
          <w:szCs w:val="24"/>
        </w:rPr>
        <w:t xml:space="preserve"> i systemów referencji technicznych, zamawiający jest obowiązany wskazać, że dopuszcza rozwiązania równoważne opisywanym, a odniesieniu takiemu towarzyszą wyrazy lub „równoważne”.</w:t>
      </w:r>
    </w:p>
    <w:p w14:paraId="1B8965B6" w14:textId="77777777" w:rsidR="002070A9" w:rsidRDefault="00924E40" w:rsidP="00EC3944">
      <w:pPr>
        <w:spacing w:after="120" w:line="288" w:lineRule="auto"/>
        <w:ind w:left="567"/>
        <w:jc w:val="both"/>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rsidP="00EC3944">
      <w:pPr>
        <w:numPr>
          <w:ilvl w:val="1"/>
          <w:numId w:val="59"/>
        </w:numPr>
        <w:spacing w:after="120" w:line="288" w:lineRule="auto"/>
        <w:ind w:left="567" w:hanging="425"/>
        <w:jc w:val="both"/>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rsidP="00EC3944">
      <w:pPr>
        <w:numPr>
          <w:ilvl w:val="1"/>
          <w:numId w:val="59"/>
        </w:numPr>
        <w:spacing w:after="120" w:line="288" w:lineRule="auto"/>
        <w:ind w:left="567" w:hanging="425"/>
        <w:jc w:val="both"/>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6941442"/>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Wsparcie w ramach naboru udzielane jest w formie pomocy bezzwrotnej.</w:t>
      </w:r>
    </w:p>
    <w:p w14:paraId="52EE0661"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rsidP="00EC3944">
      <w:pPr>
        <w:numPr>
          <w:ilvl w:val="2"/>
          <w:numId w:val="9"/>
        </w:numPr>
        <w:pBdr>
          <w:top w:val="nil"/>
          <w:left w:val="nil"/>
          <w:bottom w:val="nil"/>
          <w:right w:val="nil"/>
          <w:between w:val="nil"/>
        </w:pBdr>
        <w:spacing w:after="120" w:line="288" w:lineRule="auto"/>
        <w:ind w:left="567" w:hanging="425"/>
        <w:jc w:val="both"/>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6941443"/>
      <w:r w:rsidR="00924E40">
        <w:rPr>
          <w:rFonts w:ascii="Calibri" w:eastAsia="Calibri" w:hAnsi="Calibri" w:cs="Calibri"/>
          <w:color w:val="FFFFFF"/>
          <w:sz w:val="48"/>
          <w:szCs w:val="48"/>
        </w:rPr>
        <w:t>Postanowienia końcowe</w:t>
      </w:r>
      <w:bookmarkEnd w:id="30"/>
    </w:p>
    <w:p w14:paraId="7A0C885A" w14:textId="77777777" w:rsidR="002070A9" w:rsidRDefault="00924E40" w:rsidP="00EC3944">
      <w:pPr>
        <w:numPr>
          <w:ilvl w:val="3"/>
          <w:numId w:val="9"/>
        </w:numPr>
        <w:pBdr>
          <w:top w:val="nil"/>
          <w:left w:val="nil"/>
          <w:bottom w:val="nil"/>
          <w:right w:val="nil"/>
          <w:between w:val="nil"/>
        </w:pBdr>
        <w:spacing w:after="120" w:line="288" w:lineRule="auto"/>
        <w:ind w:left="567" w:hanging="425"/>
        <w:jc w:val="both"/>
        <w:rPr>
          <w:b/>
          <w:color w:val="000000"/>
          <w:sz w:val="24"/>
          <w:szCs w:val="24"/>
        </w:rPr>
      </w:pPr>
      <w:r>
        <w:rPr>
          <w:color w:val="000000"/>
          <w:sz w:val="24"/>
          <w:szCs w:val="24"/>
        </w:rPr>
        <w:t>Zgodnie z artykułem 19a ustęp 5-7 Ustawy RLKS:</w:t>
      </w:r>
    </w:p>
    <w:p w14:paraId="4DD7DF94" w14:textId="77777777" w:rsidR="002070A9" w:rsidRDefault="00924E40" w:rsidP="00EC3944">
      <w:pPr>
        <w:numPr>
          <w:ilvl w:val="3"/>
          <w:numId w:val="50"/>
        </w:numPr>
        <w:pBdr>
          <w:top w:val="nil"/>
          <w:left w:val="nil"/>
          <w:bottom w:val="nil"/>
          <w:right w:val="nil"/>
          <w:between w:val="nil"/>
        </w:pBdr>
        <w:spacing w:after="120" w:line="288" w:lineRule="auto"/>
        <w:ind w:left="993"/>
        <w:jc w:val="both"/>
        <w:rPr>
          <w:b/>
          <w:color w:val="000000"/>
          <w:sz w:val="24"/>
          <w:szCs w:val="24"/>
        </w:rPr>
      </w:pPr>
      <w:r>
        <w:rPr>
          <w:color w:val="000000"/>
          <w:sz w:val="24"/>
          <w:szCs w:val="24"/>
        </w:rPr>
        <w:t>LGD może zmienić Regulamin naboru wniosków o wsparcie,</w:t>
      </w:r>
    </w:p>
    <w:p w14:paraId="6DA90668" w14:textId="77777777" w:rsidR="002070A9" w:rsidRDefault="00924E40" w:rsidP="00EC3944">
      <w:pPr>
        <w:numPr>
          <w:ilvl w:val="3"/>
          <w:numId w:val="50"/>
        </w:numPr>
        <w:pBdr>
          <w:top w:val="nil"/>
          <w:left w:val="nil"/>
          <w:bottom w:val="nil"/>
          <w:right w:val="nil"/>
          <w:between w:val="nil"/>
        </w:pBdr>
        <w:spacing w:after="120" w:line="288" w:lineRule="auto"/>
        <w:ind w:left="993"/>
        <w:jc w:val="both"/>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3A1942EB" w:rsidR="002070A9" w:rsidRDefault="00924E40" w:rsidP="00EC3944">
      <w:pPr>
        <w:numPr>
          <w:ilvl w:val="3"/>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 xml:space="preserve">W przypadku zmiany Regulaminu, LGD udostępnia na swojej stronie internetowej </w:t>
      </w:r>
      <w:r w:rsidR="0099553E">
        <w:rPr>
          <w:color w:val="000000"/>
          <w:sz w:val="24"/>
          <w:szCs w:val="24"/>
        </w:rPr>
        <w:t>zmieniony Regulamin</w:t>
      </w:r>
      <w:r>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rsidP="00EC3944">
      <w:pPr>
        <w:numPr>
          <w:ilvl w:val="3"/>
          <w:numId w:val="9"/>
        </w:numPr>
        <w:pBdr>
          <w:top w:val="nil"/>
          <w:left w:val="nil"/>
          <w:bottom w:val="nil"/>
          <w:right w:val="nil"/>
          <w:between w:val="nil"/>
        </w:pBdr>
        <w:spacing w:after="120" w:line="288" w:lineRule="auto"/>
        <w:ind w:left="567" w:hanging="425"/>
        <w:jc w:val="both"/>
        <w:rPr>
          <w:color w:val="000000"/>
          <w:sz w:val="24"/>
          <w:szCs w:val="24"/>
        </w:rPr>
      </w:pPr>
      <w:r>
        <w:rPr>
          <w:color w:val="000000"/>
          <w:sz w:val="24"/>
          <w:szCs w:val="24"/>
        </w:rPr>
        <w:t>LGD unieważnia nabór wniosków o wsparcie, po akceptacji przez ZWW, jeżeli:</w:t>
      </w:r>
    </w:p>
    <w:p w14:paraId="53D8BD03" w14:textId="77777777"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rsidP="00EC3944">
      <w:pPr>
        <w:pBdr>
          <w:top w:val="nil"/>
          <w:left w:val="nil"/>
          <w:bottom w:val="nil"/>
          <w:right w:val="nil"/>
          <w:between w:val="nil"/>
        </w:pBdr>
        <w:spacing w:after="0" w:line="288" w:lineRule="auto"/>
        <w:ind w:left="993"/>
        <w:jc w:val="both"/>
        <w:rPr>
          <w:color w:val="000000"/>
          <w:sz w:val="24"/>
          <w:szCs w:val="24"/>
        </w:rPr>
      </w:pPr>
      <w:r>
        <w:rPr>
          <w:color w:val="000000"/>
          <w:sz w:val="24"/>
          <w:szCs w:val="24"/>
        </w:rPr>
        <w:t>lub</w:t>
      </w:r>
    </w:p>
    <w:p w14:paraId="47389825" w14:textId="5889970C"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 xml:space="preserve">wystąpiła istotna zmiana okoliczności powodująca, że wybór operacji nie leży </w:t>
      </w:r>
      <w:r w:rsidR="00EC3944">
        <w:rPr>
          <w:color w:val="000000"/>
          <w:sz w:val="24"/>
          <w:szCs w:val="24"/>
        </w:rPr>
        <w:br/>
      </w:r>
      <w:r>
        <w:rPr>
          <w:color w:val="000000"/>
          <w:sz w:val="24"/>
          <w:szCs w:val="24"/>
        </w:rPr>
        <w:t xml:space="preserve">w interesie publicznym, czego nie można było wcześniej przewidzieć, </w:t>
      </w:r>
    </w:p>
    <w:p w14:paraId="6131A778" w14:textId="77777777" w:rsidR="002070A9" w:rsidRDefault="00924E40" w:rsidP="00EC3944">
      <w:pPr>
        <w:pBdr>
          <w:top w:val="nil"/>
          <w:left w:val="nil"/>
          <w:bottom w:val="nil"/>
          <w:right w:val="nil"/>
          <w:between w:val="nil"/>
        </w:pBdr>
        <w:spacing w:after="0" w:line="288" w:lineRule="auto"/>
        <w:ind w:left="993"/>
        <w:jc w:val="both"/>
        <w:rPr>
          <w:color w:val="000000"/>
          <w:sz w:val="24"/>
          <w:szCs w:val="24"/>
        </w:rPr>
      </w:pPr>
      <w:r>
        <w:rPr>
          <w:color w:val="000000"/>
          <w:sz w:val="24"/>
          <w:szCs w:val="24"/>
        </w:rPr>
        <w:t>lub</w:t>
      </w:r>
    </w:p>
    <w:p w14:paraId="48F2933D" w14:textId="77777777" w:rsidR="002070A9" w:rsidRDefault="00924E40" w:rsidP="00EC3944">
      <w:pPr>
        <w:numPr>
          <w:ilvl w:val="0"/>
          <w:numId w:val="37"/>
        </w:numPr>
        <w:pBdr>
          <w:top w:val="nil"/>
          <w:left w:val="nil"/>
          <w:bottom w:val="nil"/>
          <w:right w:val="nil"/>
          <w:between w:val="nil"/>
        </w:pBdr>
        <w:spacing w:after="0" w:line="288" w:lineRule="auto"/>
        <w:ind w:left="993"/>
        <w:jc w:val="both"/>
        <w:rPr>
          <w:color w:val="000000"/>
          <w:sz w:val="24"/>
          <w:szCs w:val="24"/>
        </w:rPr>
      </w:pPr>
      <w:r>
        <w:rPr>
          <w:color w:val="000000"/>
          <w:sz w:val="24"/>
          <w:szCs w:val="24"/>
        </w:rPr>
        <w:t>postępowanie jest obarczone niemożliwą do usunięcia wadą prawną.</w:t>
      </w:r>
    </w:p>
    <w:p w14:paraId="1D07738A" w14:textId="60EB5063" w:rsidR="002070A9" w:rsidRDefault="00924E40" w:rsidP="00EC3944">
      <w:pPr>
        <w:numPr>
          <w:ilvl w:val="0"/>
          <w:numId w:val="38"/>
        </w:numPr>
        <w:pBdr>
          <w:top w:val="nil"/>
          <w:left w:val="nil"/>
          <w:bottom w:val="nil"/>
          <w:right w:val="nil"/>
          <w:between w:val="nil"/>
        </w:pBdr>
        <w:spacing w:before="120" w:after="120" w:line="288" w:lineRule="auto"/>
        <w:ind w:left="499" w:hanging="357"/>
        <w:jc w:val="both"/>
        <w:rPr>
          <w:color w:val="000000"/>
          <w:sz w:val="24"/>
          <w:szCs w:val="24"/>
        </w:rPr>
      </w:pPr>
      <w:r>
        <w:rPr>
          <w:color w:val="000000"/>
          <w:sz w:val="24"/>
          <w:szCs w:val="24"/>
        </w:rPr>
        <w:t xml:space="preserve">LGD podaje do publicznej wiadomości informację o unieważnieniu naboru wniosków </w:t>
      </w:r>
      <w:r w:rsidR="00EC3944">
        <w:rPr>
          <w:color w:val="000000"/>
          <w:sz w:val="24"/>
          <w:szCs w:val="24"/>
        </w:rPr>
        <w:br/>
      </w:r>
      <w:r>
        <w:rPr>
          <w:color w:val="000000"/>
          <w:sz w:val="24"/>
          <w:szCs w:val="24"/>
        </w:rPr>
        <w:t xml:space="preserve">o wsparcie. Informacja ta nie stanowi podstawy wniesienia protestu, o którym mowa </w:t>
      </w:r>
      <w:r w:rsidR="00EC3944">
        <w:rPr>
          <w:color w:val="000000"/>
          <w:sz w:val="24"/>
          <w:szCs w:val="24"/>
        </w:rPr>
        <w:br/>
      </w:r>
      <w:r>
        <w:rPr>
          <w:color w:val="000000"/>
          <w:sz w:val="24"/>
          <w:szCs w:val="24"/>
        </w:rPr>
        <w:t>w art. 22 ust. 1 ustawy RLKS.</w:t>
      </w:r>
    </w:p>
    <w:p w14:paraId="41E82995" w14:textId="3E77DAEE" w:rsidR="002070A9" w:rsidRDefault="00924E40" w:rsidP="00EC3944">
      <w:pPr>
        <w:numPr>
          <w:ilvl w:val="0"/>
          <w:numId w:val="38"/>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W przypadku unieważnienia naboru wniosków o wsparcie, którego dotyczy wniosek </w:t>
      </w:r>
      <w:r w:rsidR="00EC3944">
        <w:rPr>
          <w:color w:val="000000"/>
          <w:sz w:val="24"/>
          <w:szCs w:val="24"/>
        </w:rPr>
        <w:br/>
      </w:r>
      <w:r>
        <w:rPr>
          <w:color w:val="000000"/>
          <w:sz w:val="24"/>
          <w:szCs w:val="24"/>
        </w:rPr>
        <w:t xml:space="preserve">o wsparcie złożony w ramach tego naboru, nie przysługuje. </w:t>
      </w:r>
    </w:p>
    <w:p w14:paraId="029018AB" w14:textId="77777777" w:rsidR="002070A9" w:rsidRDefault="00924E40" w:rsidP="00EC3944">
      <w:pPr>
        <w:numPr>
          <w:ilvl w:val="0"/>
          <w:numId w:val="38"/>
        </w:numPr>
        <w:pBdr>
          <w:top w:val="nil"/>
          <w:left w:val="nil"/>
          <w:bottom w:val="nil"/>
          <w:right w:val="nil"/>
          <w:between w:val="nil"/>
        </w:pBdr>
        <w:spacing w:after="120" w:line="288" w:lineRule="auto"/>
        <w:jc w:val="both"/>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32423D22" w:rsidR="002070A9" w:rsidRDefault="00924E40" w:rsidP="00EC3944">
      <w:pPr>
        <w:numPr>
          <w:ilvl w:val="0"/>
          <w:numId w:val="39"/>
        </w:numPr>
        <w:pBdr>
          <w:top w:val="nil"/>
          <w:left w:val="nil"/>
          <w:bottom w:val="nil"/>
          <w:right w:val="nil"/>
          <w:between w:val="nil"/>
        </w:pBdr>
        <w:spacing w:after="120" w:line="288" w:lineRule="auto"/>
        <w:jc w:val="both"/>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99553E">
        <w:rPr>
          <w:color w:val="000000"/>
          <w:sz w:val="24"/>
          <w:szCs w:val="24"/>
        </w:rPr>
        <w:t>ZWW</w:t>
      </w:r>
      <w:r>
        <w:rPr>
          <w:color w:val="000000"/>
          <w:sz w:val="24"/>
          <w:szCs w:val="24"/>
        </w:rPr>
        <w:t xml:space="preserve"> (w uzasadnionych przypadkach).</w:t>
      </w:r>
    </w:p>
    <w:p w14:paraId="72E3F948"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rsidP="00EC3944">
      <w:pPr>
        <w:numPr>
          <w:ilvl w:val="2"/>
          <w:numId w:val="41"/>
        </w:numPr>
        <w:pBdr>
          <w:top w:val="nil"/>
          <w:left w:val="nil"/>
          <w:bottom w:val="nil"/>
          <w:right w:val="nil"/>
          <w:between w:val="nil"/>
        </w:pBdr>
        <w:spacing w:after="120" w:line="288" w:lineRule="auto"/>
        <w:ind w:left="567" w:hanging="360"/>
        <w:jc w:val="both"/>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6941444"/>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Pr="0099553E" w:rsidRDefault="00924E40">
      <w:pPr>
        <w:spacing w:after="120" w:line="288" w:lineRule="auto"/>
        <w:rPr>
          <w:sz w:val="24"/>
          <w:szCs w:val="24"/>
        </w:rPr>
      </w:pPr>
      <w:r>
        <w:rPr>
          <w:b/>
          <w:color w:val="2E74B5"/>
          <w:sz w:val="24"/>
          <w:szCs w:val="24"/>
        </w:rPr>
        <w:t>Załącznik 2</w:t>
      </w:r>
      <w:r>
        <w:rPr>
          <w:color w:val="2E74B5"/>
          <w:sz w:val="24"/>
          <w:szCs w:val="24"/>
        </w:rPr>
        <w:t xml:space="preserve"> </w:t>
      </w:r>
      <w:r w:rsidRPr="0099553E">
        <w:rPr>
          <w:sz w:val="24"/>
          <w:szCs w:val="24"/>
        </w:rPr>
        <w:t xml:space="preserve">– </w:t>
      </w:r>
      <w:r w:rsidR="000A1839" w:rsidRPr="0099553E">
        <w:rPr>
          <w:sz w:val="24"/>
          <w:szCs w:val="24"/>
        </w:rPr>
        <w:t>Kryteria oceny projektu</w:t>
      </w:r>
    </w:p>
    <w:p w14:paraId="5D5D8322" w14:textId="77777777" w:rsidR="002070A9" w:rsidRDefault="00924E40">
      <w:pPr>
        <w:spacing w:after="120" w:line="288" w:lineRule="auto"/>
        <w:rPr>
          <w:sz w:val="24"/>
          <w:szCs w:val="24"/>
        </w:rPr>
      </w:pPr>
      <w:r w:rsidRPr="0099553E">
        <w:rPr>
          <w:b/>
          <w:color w:val="2E74B5"/>
          <w:sz w:val="24"/>
          <w:szCs w:val="24"/>
        </w:rPr>
        <w:t xml:space="preserve">Załącznik 3 </w:t>
      </w:r>
      <w:r w:rsidRPr="0099553E">
        <w:rPr>
          <w:sz w:val="24"/>
          <w:szCs w:val="24"/>
        </w:rPr>
        <w:t>– 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29A8" w14:textId="77777777" w:rsidR="00D45897" w:rsidRDefault="00D45897">
      <w:pPr>
        <w:spacing w:after="0" w:line="240" w:lineRule="auto"/>
      </w:pPr>
      <w:r>
        <w:separator/>
      </w:r>
    </w:p>
  </w:endnote>
  <w:endnote w:type="continuationSeparator" w:id="0">
    <w:p w14:paraId="663E32E7" w14:textId="77777777" w:rsidR="00D45897" w:rsidRDefault="00D4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8E3C" w14:textId="27128EF8" w:rsidR="0026453B" w:rsidRDefault="0026453B">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2B589B">
      <w:rPr>
        <w:noProof/>
        <w:color w:val="000000"/>
      </w:rPr>
      <w:t>2</w:t>
    </w:r>
    <w:r>
      <w:rPr>
        <w:color w:val="000000"/>
      </w:rPr>
      <w:fldChar w:fldCharType="end"/>
    </w:r>
    <w:r>
      <w:rPr>
        <w:color w:val="000000"/>
      </w:rPr>
      <w:t xml:space="preserve"> </w:t>
    </w:r>
  </w:p>
  <w:p w14:paraId="4B2E5E0D" w14:textId="77777777" w:rsidR="0026453B" w:rsidRDefault="0026453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EFAA6" w14:textId="77777777" w:rsidR="00D45897" w:rsidRDefault="00D45897">
      <w:pPr>
        <w:spacing w:after="0" w:line="240" w:lineRule="auto"/>
      </w:pPr>
      <w:r>
        <w:separator/>
      </w:r>
    </w:p>
  </w:footnote>
  <w:footnote w:type="continuationSeparator" w:id="0">
    <w:p w14:paraId="3CD12CE8" w14:textId="77777777" w:rsidR="00D45897" w:rsidRDefault="00D45897">
      <w:pPr>
        <w:spacing w:after="0" w:line="240" w:lineRule="auto"/>
      </w:pPr>
      <w:r>
        <w:continuationSeparator/>
      </w:r>
    </w:p>
  </w:footnote>
  <w:footnote w:id="1">
    <w:p w14:paraId="4857F8C5" w14:textId="77777777" w:rsidR="0026453B" w:rsidRDefault="0026453B" w:rsidP="005964F5">
      <w:pPr>
        <w:pStyle w:val="Tekstprzypisudolnego"/>
        <w:jc w:val="both"/>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26453B" w:rsidRDefault="0026453B">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5CA9FD66" w:rsidR="0026453B" w:rsidRDefault="0026453B" w:rsidP="0026453B">
      <w:pPr>
        <w:pBdr>
          <w:top w:val="nil"/>
          <w:left w:val="nil"/>
          <w:bottom w:val="nil"/>
          <w:right w:val="nil"/>
          <w:between w:val="nil"/>
        </w:pBdr>
        <w:spacing w:line="288"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26453B">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26453B" w:rsidRDefault="0026453B" w:rsidP="005964F5">
      <w:pPr>
        <w:widowControl w:val="0"/>
        <w:pBdr>
          <w:top w:val="nil"/>
          <w:left w:val="nil"/>
          <w:bottom w:val="nil"/>
          <w:right w:val="nil"/>
          <w:between w:val="nil"/>
        </w:pBdr>
        <w:spacing w:after="60" w:line="288" w:lineRule="auto"/>
        <w:jc w:val="both"/>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26453B" w:rsidRPr="00F55222" w:rsidRDefault="0026453B" w:rsidP="005964F5">
      <w:pPr>
        <w:pBdr>
          <w:top w:val="nil"/>
          <w:left w:val="nil"/>
          <w:bottom w:val="nil"/>
          <w:right w:val="nil"/>
          <w:between w:val="nil"/>
        </w:pBdr>
        <w:spacing w:after="60" w:line="288" w:lineRule="auto"/>
        <w:jc w:val="both"/>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26453B" w:rsidRDefault="0026453B" w:rsidP="002C7F1F">
      <w:pPr>
        <w:widowControl w:val="0"/>
        <w:pBdr>
          <w:top w:val="nil"/>
          <w:left w:val="nil"/>
          <w:bottom w:val="nil"/>
          <w:right w:val="nil"/>
          <w:between w:val="nil"/>
        </w:pBdr>
        <w:spacing w:after="60" w:line="288" w:lineRule="auto"/>
        <w:jc w:val="both"/>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26453B" w:rsidRDefault="0026453B">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74908D7B" w14:textId="77777777" w:rsidR="004B4087" w:rsidRDefault="004B4087" w:rsidP="004B4087">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689096BA" w14:textId="77777777" w:rsidR="004B4087" w:rsidRDefault="004B4087" w:rsidP="004B4087">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1918C225" w14:textId="3DA29F24" w:rsidR="0026453B" w:rsidRDefault="0026453B">
      <w:pPr>
        <w:pStyle w:val="Tekstprzypisudolnego"/>
      </w:pPr>
      <w:r>
        <w:rPr>
          <w:rStyle w:val="Odwoanieprzypisudolnego"/>
        </w:rPr>
        <w:footnoteRef/>
      </w:r>
      <w:r>
        <w:t xml:space="preserve"> </w:t>
      </w:r>
      <w:r w:rsidRPr="0026453B">
        <w:rPr>
          <w:rFonts w:ascii="Calibri" w:hAnsi="Calibri"/>
          <w:color w:val="2E74B5" w:themeColor="accent1" w:themeShade="BF"/>
          <w:sz w:val="24"/>
          <w:szCs w:val="24"/>
        </w:rPr>
        <w:t>Jeśli dotyczy</w:t>
      </w:r>
      <w:r>
        <w:t>.</w:t>
      </w:r>
    </w:p>
  </w:footnote>
  <w:footnote w:id="10">
    <w:p w14:paraId="4DB79ADF" w14:textId="77777777" w:rsidR="0026453B" w:rsidRDefault="0026453B">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26453B" w:rsidRDefault="0026453B" w:rsidP="00EC3944">
      <w:pPr>
        <w:widowControl w:val="0"/>
        <w:pBdr>
          <w:top w:val="nil"/>
          <w:left w:val="nil"/>
          <w:bottom w:val="nil"/>
          <w:right w:val="nil"/>
          <w:between w:val="nil"/>
        </w:pBdr>
        <w:spacing w:after="0" w:line="288" w:lineRule="auto"/>
        <w:ind w:left="284" w:hanging="284"/>
        <w:jc w:val="both"/>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EF9A" w14:textId="77777777" w:rsidR="0026453B" w:rsidRDefault="0026453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82846"/>
    <w:multiLevelType w:val="hybridMultilevel"/>
    <w:tmpl w:val="AD0E957A"/>
    <w:lvl w:ilvl="0" w:tplc="B1FEFC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7301B"/>
    <w:multiLevelType w:val="hybridMultilevel"/>
    <w:tmpl w:val="050C1642"/>
    <w:lvl w:ilvl="0" w:tplc="B6F0C3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9"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0"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1"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7"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6B53F33"/>
    <w:multiLevelType w:val="multilevel"/>
    <w:tmpl w:val="450653A0"/>
    <w:lvl w:ilvl="0">
      <w:start w:val="2"/>
      <w:numFmt w:val="lowerLetter"/>
      <w:lvlText w:val="%1)"/>
      <w:lvlJc w:val="left"/>
      <w:pPr>
        <w:ind w:left="720" w:hanging="360"/>
      </w:pPr>
      <w:rPr>
        <w:rFonts w:hint="default"/>
      </w:rPr>
    </w:lvl>
    <w:lvl w:ilvl="1">
      <w:start w:val="1"/>
      <w:numFmt w:val="bullet"/>
      <w:lvlText w:val="−"/>
      <w:lvlJc w:val="left"/>
      <w:pPr>
        <w:ind w:left="1440" w:hanging="360"/>
      </w:pPr>
      <w:rPr>
        <w:rFonts w:ascii="Noto Sans Symbols" w:hAnsi="Noto Sans Symbols" w:hint="default"/>
        <w:b w:val="0"/>
        <w:color w:val="000000"/>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heme="minorHAnsi" w:hAnsiTheme="minorHAnsi" w:hint="default"/>
        <w:b w:val="0"/>
        <w:i w:val="0"/>
        <w:caps w:val="0"/>
        <w:strike w:val="0"/>
        <w:dstrike w:val="0"/>
        <w:vanish w:val="0"/>
        <w:sz w:val="24"/>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8"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2"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2"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4"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6"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8"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23709B0"/>
    <w:multiLevelType w:val="multilevel"/>
    <w:tmpl w:val="38A478B2"/>
    <w:lvl w:ilvl="0">
      <w:start w:val="4"/>
      <w:numFmt w:val="lowerLetter"/>
      <w:lvlText w:val="%1)"/>
      <w:lvlJc w:val="left"/>
      <w:pPr>
        <w:ind w:left="720" w:hanging="360"/>
      </w:pPr>
      <w:rPr>
        <w:rFonts w:hint="default"/>
      </w:rPr>
    </w:lvl>
    <w:lvl w:ilvl="1">
      <w:start w:val="1"/>
      <w:numFmt w:val="bullet"/>
      <w:lvlText w:val="−"/>
      <w:lvlJc w:val="left"/>
      <w:pPr>
        <w:ind w:left="1440" w:hanging="360"/>
      </w:pPr>
      <w:rPr>
        <w:rFonts w:ascii="Noto Sans Symbols" w:hAnsi="Noto Sans Symbols" w:hint="default"/>
        <w:b w:val="0"/>
        <w:color w:val="000000"/>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heme="minorHAnsi" w:hAnsiTheme="minorHAnsi" w:hint="default"/>
        <w:b w:val="0"/>
        <w:i w:val="0"/>
        <w:caps w:val="0"/>
        <w:strike w:val="0"/>
        <w:dstrike w:val="0"/>
        <w:vanish w:val="0"/>
        <w:sz w:val="24"/>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4"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5"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4"/>
  </w:num>
  <w:num w:numId="2">
    <w:abstractNumId w:val="41"/>
  </w:num>
  <w:num w:numId="3">
    <w:abstractNumId w:val="17"/>
  </w:num>
  <w:num w:numId="4">
    <w:abstractNumId w:val="22"/>
  </w:num>
  <w:num w:numId="5">
    <w:abstractNumId w:val="40"/>
  </w:num>
  <w:num w:numId="6">
    <w:abstractNumId w:val="58"/>
  </w:num>
  <w:num w:numId="7">
    <w:abstractNumId w:val="45"/>
  </w:num>
  <w:num w:numId="8">
    <w:abstractNumId w:val="32"/>
  </w:num>
  <w:num w:numId="9">
    <w:abstractNumId w:val="47"/>
  </w:num>
  <w:num w:numId="10">
    <w:abstractNumId w:val="68"/>
  </w:num>
  <w:num w:numId="11">
    <w:abstractNumId w:val="42"/>
  </w:num>
  <w:num w:numId="12">
    <w:abstractNumId w:val="44"/>
  </w:num>
  <w:num w:numId="13">
    <w:abstractNumId w:val="65"/>
  </w:num>
  <w:num w:numId="14">
    <w:abstractNumId w:val="49"/>
  </w:num>
  <w:num w:numId="15">
    <w:abstractNumId w:val="39"/>
  </w:num>
  <w:num w:numId="16">
    <w:abstractNumId w:val="61"/>
  </w:num>
  <w:num w:numId="17">
    <w:abstractNumId w:val="35"/>
  </w:num>
  <w:num w:numId="18">
    <w:abstractNumId w:val="18"/>
  </w:num>
  <w:num w:numId="19">
    <w:abstractNumId w:val="76"/>
  </w:num>
  <w:num w:numId="20">
    <w:abstractNumId w:val="3"/>
  </w:num>
  <w:num w:numId="21">
    <w:abstractNumId w:val="73"/>
  </w:num>
  <w:num w:numId="22">
    <w:abstractNumId w:val="66"/>
  </w:num>
  <w:num w:numId="23">
    <w:abstractNumId w:val="52"/>
  </w:num>
  <w:num w:numId="24">
    <w:abstractNumId w:val="4"/>
  </w:num>
  <w:num w:numId="25">
    <w:abstractNumId w:val="43"/>
  </w:num>
  <w:num w:numId="26">
    <w:abstractNumId w:val="19"/>
  </w:num>
  <w:num w:numId="27">
    <w:abstractNumId w:val="62"/>
  </w:num>
  <w:num w:numId="28">
    <w:abstractNumId w:val="24"/>
  </w:num>
  <w:num w:numId="29">
    <w:abstractNumId w:val="59"/>
  </w:num>
  <w:num w:numId="30">
    <w:abstractNumId w:val="6"/>
  </w:num>
  <w:num w:numId="31">
    <w:abstractNumId w:val="56"/>
  </w:num>
  <w:num w:numId="32">
    <w:abstractNumId w:val="9"/>
  </w:num>
  <w:num w:numId="33">
    <w:abstractNumId w:val="29"/>
  </w:num>
  <w:num w:numId="34">
    <w:abstractNumId w:val="10"/>
  </w:num>
  <w:num w:numId="35">
    <w:abstractNumId w:val="78"/>
  </w:num>
  <w:num w:numId="36">
    <w:abstractNumId w:val="53"/>
  </w:num>
  <w:num w:numId="37">
    <w:abstractNumId w:val="70"/>
  </w:num>
  <w:num w:numId="38">
    <w:abstractNumId w:val="67"/>
  </w:num>
  <w:num w:numId="39">
    <w:abstractNumId w:val="20"/>
  </w:num>
  <w:num w:numId="40">
    <w:abstractNumId w:val="33"/>
  </w:num>
  <w:num w:numId="41">
    <w:abstractNumId w:val="30"/>
  </w:num>
  <w:num w:numId="42">
    <w:abstractNumId w:val="26"/>
  </w:num>
  <w:num w:numId="43">
    <w:abstractNumId w:val="23"/>
  </w:num>
  <w:num w:numId="44">
    <w:abstractNumId w:val="14"/>
  </w:num>
  <w:num w:numId="45">
    <w:abstractNumId w:val="11"/>
  </w:num>
  <w:num w:numId="46">
    <w:abstractNumId w:val="64"/>
  </w:num>
  <w:num w:numId="47">
    <w:abstractNumId w:val="25"/>
  </w:num>
  <w:num w:numId="48">
    <w:abstractNumId w:val="34"/>
  </w:num>
  <w:num w:numId="49">
    <w:abstractNumId w:val="55"/>
  </w:num>
  <w:num w:numId="50">
    <w:abstractNumId w:val="12"/>
  </w:num>
  <w:num w:numId="51">
    <w:abstractNumId w:val="0"/>
  </w:num>
  <w:num w:numId="52">
    <w:abstractNumId w:val="31"/>
  </w:num>
  <w:num w:numId="53">
    <w:abstractNumId w:val="57"/>
  </w:num>
  <w:num w:numId="54">
    <w:abstractNumId w:val="71"/>
  </w:num>
  <w:num w:numId="55">
    <w:abstractNumId w:val="8"/>
  </w:num>
  <w:num w:numId="56">
    <w:abstractNumId w:val="75"/>
  </w:num>
  <w:num w:numId="57">
    <w:abstractNumId w:val="51"/>
  </w:num>
  <w:num w:numId="58">
    <w:abstractNumId w:val="50"/>
  </w:num>
  <w:num w:numId="59">
    <w:abstractNumId w:val="38"/>
  </w:num>
  <w:num w:numId="60">
    <w:abstractNumId w:val="13"/>
  </w:num>
  <w:num w:numId="61">
    <w:abstractNumId w:val="21"/>
  </w:num>
  <w:num w:numId="62">
    <w:abstractNumId w:val="1"/>
  </w:num>
  <w:num w:numId="63">
    <w:abstractNumId w:val="2"/>
  </w:num>
  <w:num w:numId="64">
    <w:abstractNumId w:val="27"/>
  </w:num>
  <w:num w:numId="65">
    <w:abstractNumId w:val="54"/>
  </w:num>
  <w:num w:numId="66">
    <w:abstractNumId w:val="7"/>
  </w:num>
  <w:num w:numId="67">
    <w:abstractNumId w:val="28"/>
  </w:num>
  <w:num w:numId="68">
    <w:abstractNumId w:val="60"/>
  </w:num>
  <w:num w:numId="69">
    <w:abstractNumId w:val="63"/>
  </w:num>
  <w:num w:numId="70">
    <w:abstractNumId w:val="48"/>
  </w:num>
  <w:num w:numId="71">
    <w:abstractNumId w:val="72"/>
  </w:num>
  <w:num w:numId="72">
    <w:abstractNumId w:val="77"/>
  </w:num>
  <w:num w:numId="73">
    <w:abstractNumId w:val="15"/>
  </w:num>
  <w:num w:numId="74">
    <w:abstractNumId w:val="37"/>
  </w:num>
  <w:num w:numId="75">
    <w:abstractNumId w:val="36"/>
  </w:num>
  <w:num w:numId="76">
    <w:abstractNumId w:val="16"/>
  </w:num>
  <w:num w:numId="77">
    <w:abstractNumId w:val="5"/>
  </w:num>
  <w:num w:numId="78">
    <w:abstractNumId w:val="69"/>
  </w:num>
  <w:num w:numId="79">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26747"/>
    <w:rsid w:val="0006498E"/>
    <w:rsid w:val="000675CD"/>
    <w:rsid w:val="00070B37"/>
    <w:rsid w:val="000735CB"/>
    <w:rsid w:val="00075A9F"/>
    <w:rsid w:val="000867FD"/>
    <w:rsid w:val="0009249A"/>
    <w:rsid w:val="00096DE4"/>
    <w:rsid w:val="000A1839"/>
    <w:rsid w:val="000A6820"/>
    <w:rsid w:val="000B538C"/>
    <w:rsid w:val="000D0EFE"/>
    <w:rsid w:val="001041CC"/>
    <w:rsid w:val="001226A7"/>
    <w:rsid w:val="001355C3"/>
    <w:rsid w:val="00143EC2"/>
    <w:rsid w:val="00144F02"/>
    <w:rsid w:val="00150DB0"/>
    <w:rsid w:val="00151DAF"/>
    <w:rsid w:val="00162CE7"/>
    <w:rsid w:val="00164806"/>
    <w:rsid w:val="0017335D"/>
    <w:rsid w:val="00182415"/>
    <w:rsid w:val="001B4934"/>
    <w:rsid w:val="001E5671"/>
    <w:rsid w:val="001E7DC2"/>
    <w:rsid w:val="002070A9"/>
    <w:rsid w:val="00207449"/>
    <w:rsid w:val="00216BE1"/>
    <w:rsid w:val="00250953"/>
    <w:rsid w:val="0026453B"/>
    <w:rsid w:val="00270F74"/>
    <w:rsid w:val="0028233A"/>
    <w:rsid w:val="00286856"/>
    <w:rsid w:val="0029127E"/>
    <w:rsid w:val="0029639B"/>
    <w:rsid w:val="00297C89"/>
    <w:rsid w:val="002A07B0"/>
    <w:rsid w:val="002B589B"/>
    <w:rsid w:val="002C7F1F"/>
    <w:rsid w:val="002D203A"/>
    <w:rsid w:val="003461D4"/>
    <w:rsid w:val="003921F5"/>
    <w:rsid w:val="003B4ED5"/>
    <w:rsid w:val="003C3B8D"/>
    <w:rsid w:val="003D3F44"/>
    <w:rsid w:val="003E6F34"/>
    <w:rsid w:val="003F657D"/>
    <w:rsid w:val="0041293F"/>
    <w:rsid w:val="004358B9"/>
    <w:rsid w:val="00451B29"/>
    <w:rsid w:val="0047583F"/>
    <w:rsid w:val="00476046"/>
    <w:rsid w:val="004A17C8"/>
    <w:rsid w:val="004B4087"/>
    <w:rsid w:val="004D241E"/>
    <w:rsid w:val="004F4545"/>
    <w:rsid w:val="00517BCF"/>
    <w:rsid w:val="00552905"/>
    <w:rsid w:val="0057363F"/>
    <w:rsid w:val="00583D15"/>
    <w:rsid w:val="00593888"/>
    <w:rsid w:val="005964F5"/>
    <w:rsid w:val="005C2011"/>
    <w:rsid w:val="005E5544"/>
    <w:rsid w:val="00611B5C"/>
    <w:rsid w:val="00616386"/>
    <w:rsid w:val="00627D7E"/>
    <w:rsid w:val="006442AE"/>
    <w:rsid w:val="00646B44"/>
    <w:rsid w:val="0064700B"/>
    <w:rsid w:val="00650977"/>
    <w:rsid w:val="00673C7A"/>
    <w:rsid w:val="006906EC"/>
    <w:rsid w:val="00696AB3"/>
    <w:rsid w:val="006B270E"/>
    <w:rsid w:val="006B7EF9"/>
    <w:rsid w:val="006C25F7"/>
    <w:rsid w:val="006C2935"/>
    <w:rsid w:val="006C7970"/>
    <w:rsid w:val="0076416B"/>
    <w:rsid w:val="0076579E"/>
    <w:rsid w:val="00765C58"/>
    <w:rsid w:val="00766386"/>
    <w:rsid w:val="00771681"/>
    <w:rsid w:val="00774D0D"/>
    <w:rsid w:val="007918C0"/>
    <w:rsid w:val="00793ABE"/>
    <w:rsid w:val="00795D4F"/>
    <w:rsid w:val="007D42D8"/>
    <w:rsid w:val="007E0F2B"/>
    <w:rsid w:val="007F11D5"/>
    <w:rsid w:val="007F7E65"/>
    <w:rsid w:val="00803E19"/>
    <w:rsid w:val="0086699B"/>
    <w:rsid w:val="00886CD9"/>
    <w:rsid w:val="00892FA3"/>
    <w:rsid w:val="008961EB"/>
    <w:rsid w:val="008A7791"/>
    <w:rsid w:val="008B2F67"/>
    <w:rsid w:val="00924B74"/>
    <w:rsid w:val="00924E40"/>
    <w:rsid w:val="00940842"/>
    <w:rsid w:val="00941E35"/>
    <w:rsid w:val="00951FF8"/>
    <w:rsid w:val="009701D3"/>
    <w:rsid w:val="00980D2B"/>
    <w:rsid w:val="0099553E"/>
    <w:rsid w:val="009975E6"/>
    <w:rsid w:val="00997F4D"/>
    <w:rsid w:val="009A247E"/>
    <w:rsid w:val="009A2F41"/>
    <w:rsid w:val="009A5872"/>
    <w:rsid w:val="009A709A"/>
    <w:rsid w:val="009B6923"/>
    <w:rsid w:val="009E4D69"/>
    <w:rsid w:val="00A0654D"/>
    <w:rsid w:val="00A2280D"/>
    <w:rsid w:val="00A46B9B"/>
    <w:rsid w:val="00A52729"/>
    <w:rsid w:val="00A623C6"/>
    <w:rsid w:val="00A7707C"/>
    <w:rsid w:val="00A8554F"/>
    <w:rsid w:val="00A87167"/>
    <w:rsid w:val="00AA75CE"/>
    <w:rsid w:val="00AB57B0"/>
    <w:rsid w:val="00B26AB9"/>
    <w:rsid w:val="00B41566"/>
    <w:rsid w:val="00B43472"/>
    <w:rsid w:val="00B44294"/>
    <w:rsid w:val="00B62119"/>
    <w:rsid w:val="00B83753"/>
    <w:rsid w:val="00B9037B"/>
    <w:rsid w:val="00BC12CA"/>
    <w:rsid w:val="00BE6A05"/>
    <w:rsid w:val="00BE78DC"/>
    <w:rsid w:val="00BF3527"/>
    <w:rsid w:val="00BF5126"/>
    <w:rsid w:val="00C12D04"/>
    <w:rsid w:val="00C20F8F"/>
    <w:rsid w:val="00C23A87"/>
    <w:rsid w:val="00C240C2"/>
    <w:rsid w:val="00C414BA"/>
    <w:rsid w:val="00C41B5F"/>
    <w:rsid w:val="00C50229"/>
    <w:rsid w:val="00C51819"/>
    <w:rsid w:val="00C5636B"/>
    <w:rsid w:val="00C7477F"/>
    <w:rsid w:val="00C75598"/>
    <w:rsid w:val="00C76899"/>
    <w:rsid w:val="00C80E35"/>
    <w:rsid w:val="00C87FA6"/>
    <w:rsid w:val="00CA71C4"/>
    <w:rsid w:val="00CB094C"/>
    <w:rsid w:val="00CE203A"/>
    <w:rsid w:val="00CF6610"/>
    <w:rsid w:val="00D223B2"/>
    <w:rsid w:val="00D26A1A"/>
    <w:rsid w:val="00D34E43"/>
    <w:rsid w:val="00D37F8F"/>
    <w:rsid w:val="00D45897"/>
    <w:rsid w:val="00D908FD"/>
    <w:rsid w:val="00DC3743"/>
    <w:rsid w:val="00DC461D"/>
    <w:rsid w:val="00DE6292"/>
    <w:rsid w:val="00DF5E6C"/>
    <w:rsid w:val="00E003F9"/>
    <w:rsid w:val="00E02E97"/>
    <w:rsid w:val="00E03B2C"/>
    <w:rsid w:val="00E1438D"/>
    <w:rsid w:val="00E203C4"/>
    <w:rsid w:val="00E251C9"/>
    <w:rsid w:val="00E25B66"/>
    <w:rsid w:val="00E26433"/>
    <w:rsid w:val="00E36C4D"/>
    <w:rsid w:val="00E44A96"/>
    <w:rsid w:val="00E536D6"/>
    <w:rsid w:val="00E75C6C"/>
    <w:rsid w:val="00E80584"/>
    <w:rsid w:val="00E8198B"/>
    <w:rsid w:val="00EA1A23"/>
    <w:rsid w:val="00EC3944"/>
    <w:rsid w:val="00EE5A50"/>
    <w:rsid w:val="00F103D2"/>
    <w:rsid w:val="00F15AC6"/>
    <w:rsid w:val="00F166FE"/>
    <w:rsid w:val="00F22096"/>
    <w:rsid w:val="00F37B5C"/>
    <w:rsid w:val="00F50483"/>
    <w:rsid w:val="00F55222"/>
    <w:rsid w:val="00FA0392"/>
    <w:rsid w:val="00FB704B"/>
    <w:rsid w:val="00FD0484"/>
    <w:rsid w:val="00FD1393"/>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biuro@dolinanoteci.com.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wikipedia.org/wiki/Prawa_cz%C5%82owieka" TargetMode="External"/><Relationship Id="rId19" Type="http://schemas.openxmlformats.org/officeDocument/2006/relationships/hyperlink" Target="http://www.dolinanoteci.com.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50A3E2-012C-457D-81D9-4D3AA2EC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14994</Words>
  <Characters>89964</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Tatiana</cp:lastModifiedBy>
  <cp:revision>2</cp:revision>
  <dcterms:created xsi:type="dcterms:W3CDTF">2024-10-14T13:13:00Z</dcterms:created>
  <dcterms:modified xsi:type="dcterms:W3CDTF">2024-10-14T13:13:00Z</dcterms:modified>
</cp:coreProperties>
</file>