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D5" w:rsidRDefault="00770FB2" w:rsidP="002C682E">
      <w:pPr>
        <w:rPr>
          <w:b/>
          <w:sz w:val="32"/>
          <w:szCs w:val="32"/>
        </w:rPr>
      </w:pPr>
      <w:r w:rsidRPr="00770FB2">
        <w:rPr>
          <w:b/>
          <w:sz w:val="32"/>
          <w:szCs w:val="32"/>
        </w:rPr>
        <w:t>OBOWIĄZKI KOMUNIKACYJNE BENEFICJENTÓW EFSI</w:t>
      </w:r>
    </w:p>
    <w:p w:rsidR="00DD2B33" w:rsidRDefault="00DD2B33" w:rsidP="002C682E">
      <w:pPr>
        <w:rPr>
          <w:b/>
          <w:sz w:val="32"/>
          <w:szCs w:val="32"/>
        </w:rPr>
      </w:pPr>
    </w:p>
    <w:p w:rsidR="00770FB2" w:rsidRDefault="00770FB2" w:rsidP="00770FB2">
      <w:pPr>
        <w:pStyle w:val="Akapitzlist"/>
        <w:numPr>
          <w:ilvl w:val="0"/>
          <w:numId w:val="22"/>
        </w:numPr>
        <w:ind w:left="284" w:hanging="284"/>
        <w:rPr>
          <w:b/>
          <w:sz w:val="24"/>
          <w:szCs w:val="24"/>
        </w:rPr>
      </w:pPr>
      <w:r w:rsidRPr="00770FB2">
        <w:rPr>
          <w:b/>
          <w:sz w:val="24"/>
          <w:szCs w:val="24"/>
          <w:u w:val="single"/>
        </w:rPr>
        <w:t>PLAN STRATEGICZNY WSPÓLNEJ POLITYKI ROLNEJ (PS WPR)</w:t>
      </w:r>
    </w:p>
    <w:p w:rsidR="00770FB2" w:rsidRDefault="00770FB2" w:rsidP="00770FB2">
      <w:pPr>
        <w:pStyle w:val="Akapitzlist"/>
        <w:ind w:left="284"/>
        <w:rPr>
          <w:b/>
          <w:sz w:val="24"/>
          <w:szCs w:val="24"/>
        </w:rPr>
      </w:pPr>
    </w:p>
    <w:p w:rsidR="00770FB2" w:rsidRDefault="00770FB2" w:rsidP="00770FB2">
      <w:pPr>
        <w:pStyle w:val="Akapitzlist"/>
        <w:ind w:left="284"/>
        <w:jc w:val="both"/>
      </w:pPr>
      <w:r>
        <w:t xml:space="preserve">Zgodnie z art. 50 ust. 1 Rozporządzenia Wykonawczego Komisji (UE) 2022/129 z dnia 21 grudnia 2021 r. beneficjenci interwencji finansowanych z EFRROW potwierdzają otrzymanie wsparcia z PS WPR 2023-2027 poprzez odpowiednie oznaczenie miejsca realizacji: tablice, plakaty, informacje w Internecie. Księga Wizualizacji logo PS WPR 2023-2027 jest opracowaniem zbierającym wszystkie obowiązki beneficjentów wraz z graficznymi przykładami i znajduje się pod następującym linkiem: </w:t>
      </w:r>
      <w:hyperlink r:id="rId8" w:history="1">
        <w:r w:rsidRPr="000648D3">
          <w:rPr>
            <w:rStyle w:val="Hipercze"/>
          </w:rPr>
          <w:t>https://www.gov.pl/web/rolnictwo/ksiega-wizualizacji</w:t>
        </w:r>
      </w:hyperlink>
      <w:r w:rsidRPr="00770FB2">
        <w:t xml:space="preserve"> </w:t>
      </w:r>
    </w:p>
    <w:p w:rsidR="00770FB2" w:rsidRPr="00770FB2" w:rsidRDefault="00770FB2" w:rsidP="00770FB2">
      <w:pPr>
        <w:pStyle w:val="Akapitzlist"/>
        <w:ind w:left="284"/>
        <w:jc w:val="both"/>
      </w:pPr>
    </w:p>
    <w:p w:rsidR="00770FB2" w:rsidRDefault="00770FB2" w:rsidP="00770FB2">
      <w:pPr>
        <w:pStyle w:val="Akapitzlist"/>
        <w:numPr>
          <w:ilvl w:val="0"/>
          <w:numId w:val="22"/>
        </w:numPr>
        <w:ind w:left="284" w:hanging="284"/>
        <w:jc w:val="both"/>
        <w:rPr>
          <w:b/>
          <w:u w:val="single"/>
        </w:rPr>
      </w:pPr>
      <w:r w:rsidRPr="00770FB2">
        <w:rPr>
          <w:b/>
          <w:u w:val="single"/>
        </w:rPr>
        <w:t>FUNDUSZE EUROPEJSKIE dla WIELKOPOLSKI - EUROPEJSKI FUNDUSZ SPOŁECZNY (EFS+), EUROPEJSKI FUNDUSZ ROZWOJU REGIONALNEGO (EFRR</w:t>
      </w:r>
      <w:r>
        <w:rPr>
          <w:b/>
          <w:u w:val="single"/>
        </w:rPr>
        <w:t>)</w:t>
      </w:r>
    </w:p>
    <w:p w:rsidR="00770FB2" w:rsidRDefault="00770FB2" w:rsidP="00770FB2">
      <w:pPr>
        <w:pStyle w:val="Akapitzlist"/>
        <w:ind w:left="284"/>
        <w:jc w:val="both"/>
        <w:rPr>
          <w:b/>
          <w:u w:val="single"/>
        </w:rPr>
      </w:pPr>
    </w:p>
    <w:p w:rsidR="00770FB2" w:rsidRDefault="00770FB2" w:rsidP="00770FB2">
      <w:pPr>
        <w:pStyle w:val="Akapitzlist"/>
        <w:ind w:left="284"/>
        <w:jc w:val="both"/>
      </w:pPr>
      <w:r>
        <w:t>Aby poinformować opinię publiczną (w tym odbiorców rezultatów projektu) oraz osoby i podmioty uczestniczące w projekcie o uzyskanym dofinansowaniu należy:</w:t>
      </w:r>
    </w:p>
    <w:p w:rsidR="00770FB2" w:rsidRDefault="00770FB2" w:rsidP="00770FB2">
      <w:pPr>
        <w:pStyle w:val="Akapitzlist"/>
        <w:numPr>
          <w:ilvl w:val="0"/>
          <w:numId w:val="23"/>
        </w:numPr>
        <w:jc w:val="both"/>
      </w:pPr>
      <w:r>
        <w:t xml:space="preserve">Oznaczać znakiem Funduszy Europejskich, barwami RP i znakiem Unii Europejskiej, </w:t>
      </w:r>
      <w:r>
        <w:br/>
      </w:r>
      <w:r>
        <w:t xml:space="preserve">a w przypadku programów regionalnych również herbem województwa: </w:t>
      </w:r>
    </w:p>
    <w:p w:rsidR="00770FB2" w:rsidRDefault="00770FB2" w:rsidP="00770FB2">
      <w:pPr>
        <w:pStyle w:val="Akapitzlist"/>
        <w:ind w:left="704"/>
        <w:jc w:val="both"/>
      </w:pPr>
      <w:r>
        <w:rPr>
          <w:rFonts w:ascii="Cambria Math" w:hAnsi="Cambria Math" w:cs="Cambria Math"/>
        </w:rPr>
        <w:t>⎯</w:t>
      </w:r>
      <w:r>
        <w:t xml:space="preserve"> wszystkie działania informacyjne i promocyjne dotyczące projektu (jeśli takie działania będą </w:t>
      </w:r>
      <w:r>
        <w:br/>
        <w:t xml:space="preserve">    </w:t>
      </w:r>
      <w:r>
        <w:t xml:space="preserve">prowadzone), np. ulotki, broszury, publikacje, notatki prasowe, strony internetowe, </w:t>
      </w:r>
      <w:r>
        <w:br/>
        <w:t xml:space="preserve">    </w:t>
      </w:r>
      <w:r>
        <w:t xml:space="preserve">newslettery, mailing, materiały filmowe, materiały promocyjne, konferencje, spotkania; </w:t>
      </w:r>
    </w:p>
    <w:p w:rsidR="00770FB2" w:rsidRDefault="00770FB2" w:rsidP="00770FB2">
      <w:pPr>
        <w:pStyle w:val="Akapitzlist"/>
        <w:ind w:left="704"/>
        <w:jc w:val="both"/>
      </w:pPr>
      <w:r>
        <w:rPr>
          <w:rFonts w:ascii="Cambria Math" w:hAnsi="Cambria Math" w:cs="Cambria Math"/>
        </w:rPr>
        <w:t>⎯</w:t>
      </w:r>
      <w:r>
        <w:t xml:space="preserve"> </w:t>
      </w:r>
      <w:r>
        <w:t xml:space="preserve">dokumenty związane z realizacją projektu, podawane do wiadomości publicznej, </w:t>
      </w:r>
      <w:r>
        <w:br/>
        <w:t xml:space="preserve">     </w:t>
      </w:r>
      <w:r>
        <w:t xml:space="preserve">np. dokumentację przetargową, ogłoszenia, analizy, raporty, wzory umów, wzory wniosków; </w:t>
      </w:r>
    </w:p>
    <w:p w:rsidR="00770FB2" w:rsidRDefault="00770FB2" w:rsidP="00770FB2">
      <w:pPr>
        <w:pStyle w:val="Akapitzlist"/>
        <w:spacing w:after="0"/>
        <w:ind w:left="704"/>
        <w:jc w:val="both"/>
      </w:pPr>
      <w:r>
        <w:rPr>
          <w:rFonts w:ascii="Cambria Math" w:hAnsi="Cambria Math" w:cs="Cambria Math"/>
        </w:rPr>
        <w:t>⎯</w:t>
      </w:r>
      <w:r>
        <w:t xml:space="preserve"> </w:t>
      </w:r>
      <w:r>
        <w:t xml:space="preserve"> </w:t>
      </w:r>
      <w:r>
        <w:t xml:space="preserve">dokumenty i materiały dla osób i podmiotów uczestniczących w projekcie, np. zaświadczenia, </w:t>
      </w:r>
      <w:r>
        <w:br/>
        <w:t xml:space="preserve">    </w:t>
      </w:r>
      <w:r>
        <w:t>certyfikaty, zaproszenia, materiały informacyjne, programy szkoleń i warsztatów, listy</w:t>
      </w:r>
      <w:r>
        <w:br/>
        <w:t xml:space="preserve">   </w:t>
      </w:r>
      <w:r>
        <w:t xml:space="preserve"> obecności, prezentacje multimedialne, kierowaną do nich korespondencję, umowy;</w:t>
      </w:r>
    </w:p>
    <w:p w:rsidR="00770FB2" w:rsidRDefault="00770FB2" w:rsidP="00770FB2">
      <w:pPr>
        <w:spacing w:after="0"/>
        <w:jc w:val="both"/>
      </w:pPr>
      <w:r>
        <w:t xml:space="preserve">     </w:t>
      </w:r>
      <w:r>
        <w:t xml:space="preserve"> 2. Umieścić plakat lub tablicę (informacyjną i/lub pamiątkową) w miejscu realizacji projektu; </w:t>
      </w:r>
    </w:p>
    <w:p w:rsidR="00770FB2" w:rsidRDefault="00770FB2" w:rsidP="00770FB2">
      <w:pPr>
        <w:spacing w:after="0"/>
        <w:jc w:val="both"/>
      </w:pPr>
      <w:r>
        <w:t xml:space="preserve">      </w:t>
      </w:r>
      <w:r>
        <w:t xml:space="preserve">3. Umieścić opis projektu na stronie internetowej (jeśli posiada się stronę internetową); </w:t>
      </w:r>
    </w:p>
    <w:p w:rsidR="00770FB2" w:rsidRDefault="00770FB2" w:rsidP="00770FB2">
      <w:pPr>
        <w:spacing w:after="0"/>
        <w:jc w:val="both"/>
      </w:pPr>
      <w:r>
        <w:t xml:space="preserve">      </w:t>
      </w:r>
      <w:r>
        <w:t xml:space="preserve">4. przekazywać osobom i podmiotom uczestniczącym w projekcie informację, że projekt uzyskał </w:t>
      </w:r>
      <w:r>
        <w:br/>
        <w:t xml:space="preserve">          </w:t>
      </w:r>
      <w:r>
        <w:t xml:space="preserve">dofinansowanie, np. w formie odpowiedniego oznakowania konferencji, warsztatów, szkoleń, </w:t>
      </w:r>
      <w:r>
        <w:br/>
        <w:t xml:space="preserve">          </w:t>
      </w:r>
      <w:r>
        <w:t xml:space="preserve">wystaw, targów; </w:t>
      </w:r>
    </w:p>
    <w:p w:rsidR="00770FB2" w:rsidRDefault="00770FB2" w:rsidP="00770FB2">
      <w:pPr>
        <w:spacing w:after="0"/>
        <w:jc w:val="both"/>
      </w:pPr>
      <w:r>
        <w:t xml:space="preserve">      </w:t>
      </w:r>
      <w:r>
        <w:t xml:space="preserve">5. Dodatkowo można przekazywać informację w innej formie, np. słownej. </w:t>
      </w:r>
    </w:p>
    <w:p w:rsidR="00770FB2" w:rsidRDefault="00770FB2" w:rsidP="00770FB2">
      <w:pPr>
        <w:jc w:val="both"/>
      </w:pPr>
      <w:r>
        <w:t xml:space="preserve">      </w:t>
      </w:r>
      <w:r>
        <w:t>6. Dokumentować działania informacyjne i promocyjne prowadzone w ramach projektu.</w:t>
      </w:r>
    </w:p>
    <w:p w:rsidR="00770FB2" w:rsidRPr="00770FB2" w:rsidRDefault="00770FB2" w:rsidP="00770FB2">
      <w:pPr>
        <w:jc w:val="both"/>
        <w:rPr>
          <w:b/>
          <w:sz w:val="24"/>
          <w:szCs w:val="24"/>
          <w:u w:val="single"/>
        </w:rPr>
      </w:pPr>
      <w:r w:rsidRPr="00770FB2">
        <w:rPr>
          <w:b/>
          <w:sz w:val="24"/>
          <w:szCs w:val="24"/>
        </w:rPr>
        <w:t>Uwaga: umieszczanie barw RP dotyczy wyłącznie materiałów w wersji pełno kolorowej.</w:t>
      </w:r>
    </w:p>
    <w:p w:rsidR="00770FB2" w:rsidRDefault="00770FB2" w:rsidP="00770FB2">
      <w:pPr>
        <w:pStyle w:val="Akapitzlist"/>
        <w:ind w:left="284"/>
        <w:jc w:val="both"/>
      </w:pPr>
      <w:r>
        <w:t>Szczegółowe informacje dotyczące promowania projektów znajdują się pod linkami:</w:t>
      </w:r>
    </w:p>
    <w:p w:rsidR="00770FB2" w:rsidRDefault="00770FB2" w:rsidP="00770FB2">
      <w:pPr>
        <w:pStyle w:val="Akapitzlist"/>
        <w:ind w:left="284"/>
        <w:jc w:val="both"/>
      </w:pPr>
    </w:p>
    <w:p w:rsidR="00770FB2" w:rsidRDefault="00770FB2" w:rsidP="00770FB2">
      <w:pPr>
        <w:pStyle w:val="Akapitzlist"/>
        <w:ind w:left="284"/>
        <w:jc w:val="both"/>
      </w:pPr>
      <w:hyperlink r:id="rId9" w:history="1">
        <w:r w:rsidRPr="000648D3">
          <w:rPr>
            <w:rStyle w:val="Hipercze"/>
          </w:rPr>
          <w:t>https://wrpo.wielkopolskie.pl/realizuje-projekt/poznaj-zasady-promowania-projektu/zasadydla-umow-podpisanych-od-1-stycznia-2018-r</w:t>
        </w:r>
      </w:hyperlink>
      <w:r>
        <w:t xml:space="preserve"> </w:t>
      </w:r>
    </w:p>
    <w:p w:rsidR="00770FB2" w:rsidRDefault="00770FB2" w:rsidP="00770FB2">
      <w:pPr>
        <w:pStyle w:val="Akapitzlist"/>
        <w:ind w:left="284"/>
        <w:jc w:val="both"/>
      </w:pPr>
    </w:p>
    <w:p w:rsidR="00770FB2" w:rsidRDefault="00770FB2" w:rsidP="00770FB2">
      <w:pPr>
        <w:pStyle w:val="Akapitzlist"/>
        <w:ind w:left="284"/>
        <w:jc w:val="both"/>
      </w:pPr>
      <w:r>
        <w:t xml:space="preserve"> </w:t>
      </w:r>
      <w:hyperlink r:id="rId10" w:history="1">
        <w:r w:rsidRPr="000648D3">
          <w:rPr>
            <w:rStyle w:val="Hipercze"/>
          </w:rPr>
          <w:t>https://www.funduszeeuropejskie.gov.pl/strony/o-funduszach/fundusze-2021-2027/prawo-idokumenty/zasady-komunikacji-fe/</w:t>
        </w:r>
      </w:hyperlink>
      <w:r>
        <w:t xml:space="preserve"> </w:t>
      </w:r>
    </w:p>
    <w:p w:rsidR="005E5884" w:rsidRDefault="005E5884" w:rsidP="00770FB2">
      <w:pPr>
        <w:pStyle w:val="Akapitzlist"/>
        <w:ind w:left="284"/>
        <w:jc w:val="both"/>
        <w:rPr>
          <w:b/>
          <w:sz w:val="24"/>
          <w:szCs w:val="24"/>
        </w:rPr>
      </w:pPr>
      <w:bookmarkStart w:id="0" w:name="_GoBack"/>
      <w:bookmarkEnd w:id="0"/>
    </w:p>
    <w:p w:rsidR="005E5884" w:rsidRDefault="005E5884" w:rsidP="00770FB2">
      <w:pPr>
        <w:pStyle w:val="Akapitzlist"/>
        <w:ind w:left="284"/>
        <w:jc w:val="both"/>
      </w:pPr>
      <w:r>
        <w:t>Lokalna Grupa Działania Stowarzyszenie „Dolina</w:t>
      </w:r>
      <w:r>
        <w:t xml:space="preserve"> Noteci</w:t>
      </w:r>
      <w:r>
        <w:t>” informuje wszystkich potencjalnych wnioskodawców o konieczności przestrzegania również obowiązków komunikacyjnych wynikających z art. 50 ust. 1 Rozporządzenia Parlamentu Europejskiego i Rady (UE) 2021/1060</w:t>
      </w:r>
      <w:r>
        <w:t>.</w:t>
      </w:r>
    </w:p>
    <w:p w:rsidR="005E5884" w:rsidRDefault="005E5884" w:rsidP="00770FB2">
      <w:pPr>
        <w:pStyle w:val="Akapitzlist"/>
        <w:ind w:left="284"/>
        <w:jc w:val="both"/>
      </w:pPr>
      <w:r>
        <w:t xml:space="preserve">Obowiązki beneficjentów </w:t>
      </w:r>
    </w:p>
    <w:p w:rsidR="005E5884" w:rsidRDefault="005E5884" w:rsidP="00770FB2">
      <w:pPr>
        <w:pStyle w:val="Akapitzlist"/>
        <w:ind w:left="284"/>
        <w:jc w:val="both"/>
      </w:pPr>
      <w:r>
        <w:t xml:space="preserve">1. Beneficjenci i podmioty wdrażające instrumenty finansowe podają informację o wsparciu operacji z Funduszy, w tym o zasobach ponownie wykorzystanych zgodnie z art. 62, poprzez: </w:t>
      </w:r>
    </w:p>
    <w:p w:rsidR="005E5884" w:rsidRDefault="005E5884" w:rsidP="00770FB2">
      <w:pPr>
        <w:pStyle w:val="Akapitzlist"/>
        <w:ind w:left="284"/>
        <w:jc w:val="both"/>
      </w:pPr>
      <w:r>
        <w:t xml:space="preserve">    </w:t>
      </w:r>
      <w:r>
        <w:t xml:space="preserve">a) </w:t>
      </w:r>
      <w:r>
        <w:t xml:space="preserve">  </w:t>
      </w:r>
      <w:r>
        <w:t>zamieszczenie na oficjalnej stronie internetowej beneficjenta, jeżeli taka strona istnieje, lub na</w:t>
      </w:r>
      <w:r>
        <w:br/>
      </w:r>
      <w:r>
        <w:t xml:space="preserve"> </w:t>
      </w:r>
      <w:r>
        <w:t xml:space="preserve">         </w:t>
      </w:r>
      <w:r>
        <w:t xml:space="preserve">jego stronach mediów społecznościowych, krótkiego – stosownie do poziomu wsparcia – </w:t>
      </w:r>
      <w:r>
        <w:br/>
        <w:t xml:space="preserve">          </w:t>
      </w:r>
      <w:r>
        <w:t xml:space="preserve">opisu operacji, w tym jej celów i rezultatów, z podkreśleniem faktu otrzymania wsparcia </w:t>
      </w:r>
      <w:r>
        <w:br/>
        <w:t xml:space="preserve">          </w:t>
      </w:r>
      <w:r>
        <w:t>finansowego</w:t>
      </w:r>
      <w:r>
        <w:t xml:space="preserve"> </w:t>
      </w:r>
      <w:r>
        <w:t xml:space="preserve">z Unii; </w:t>
      </w:r>
    </w:p>
    <w:p w:rsidR="005E5884" w:rsidRDefault="005E5884" w:rsidP="00770FB2">
      <w:pPr>
        <w:pStyle w:val="Akapitzlist"/>
        <w:ind w:left="284"/>
        <w:jc w:val="both"/>
      </w:pPr>
      <w:r>
        <w:t xml:space="preserve">    </w:t>
      </w:r>
      <w:r>
        <w:t xml:space="preserve">b) </w:t>
      </w:r>
      <w:r>
        <w:t xml:space="preserve"> </w:t>
      </w:r>
      <w:r>
        <w:t xml:space="preserve">zamieszczenie w widoczny sposób informacji z podkreśleniem faktu otrzymania wsparcia </w:t>
      </w:r>
      <w:r>
        <w:br/>
        <w:t xml:space="preserve">          z </w:t>
      </w:r>
      <w:r>
        <w:t xml:space="preserve">Unii w dokumentach i materiałach związanych z komunikacją dotyczących wdrażania </w:t>
      </w:r>
      <w:r>
        <w:br/>
        <w:t xml:space="preserve">          </w:t>
      </w:r>
      <w:r>
        <w:t>operacji, przeznaczonych dla opinii publicznej lub uczestników;</w:t>
      </w:r>
    </w:p>
    <w:p w:rsidR="005E5884" w:rsidRDefault="005E5884" w:rsidP="00770FB2">
      <w:pPr>
        <w:pStyle w:val="Akapitzlist"/>
        <w:ind w:left="284"/>
        <w:jc w:val="both"/>
      </w:pPr>
      <w:r>
        <w:t xml:space="preserve">    </w:t>
      </w:r>
      <w:r>
        <w:t xml:space="preserve">c) </w:t>
      </w:r>
      <w:r>
        <w:t xml:space="preserve"> </w:t>
      </w:r>
      <w:r>
        <w:t xml:space="preserve">umieszczenie trwałych tablic informacyjnych lub tablic pamiątkowych w sposób wyraźnie </w:t>
      </w:r>
      <w:r>
        <w:br/>
        <w:t xml:space="preserve">          </w:t>
      </w:r>
      <w:r>
        <w:t xml:space="preserve">widoczny dla społeczeństwa, które przedstawiają symbol Unii zgodnie z parametrami </w:t>
      </w:r>
      <w:r>
        <w:br/>
        <w:t xml:space="preserve">          </w:t>
      </w:r>
      <w:r>
        <w:t xml:space="preserve">technicznymi określonymi w załączniku IX, niezwłocznie po rozpoczęciu fizycznej realizacji </w:t>
      </w:r>
      <w:r>
        <w:br/>
        <w:t xml:space="preserve">          </w:t>
      </w:r>
      <w:r>
        <w:t xml:space="preserve">operacji obejmujących inwestycje rzeczowe lub zainstalowaniu zakupionego sprzętu, </w:t>
      </w:r>
      <w:r>
        <w:br/>
        <w:t xml:space="preserve">          </w:t>
      </w:r>
      <w:r>
        <w:t xml:space="preserve">w odniesieniu do: o wspieranych z EFRR i Funduszu Spójności operacji, których łączny koszt </w:t>
      </w:r>
      <w:r>
        <w:br/>
        <w:t xml:space="preserve">          </w:t>
      </w:r>
      <w:r>
        <w:t>przekracza 500 000 EUR; o (ii) wspieranych z EFS+, FST, EFMRA, FAMI, FBW lub IZGW</w:t>
      </w:r>
      <w:r>
        <w:br/>
        <w:t xml:space="preserve">         </w:t>
      </w:r>
      <w:r>
        <w:t xml:space="preserve"> operacji, których łączny koszt przekracza 100 000 EUR; </w:t>
      </w:r>
    </w:p>
    <w:p w:rsidR="005E5884" w:rsidRDefault="005E5884" w:rsidP="00770FB2">
      <w:pPr>
        <w:pStyle w:val="Akapitzlist"/>
        <w:ind w:left="284"/>
        <w:jc w:val="both"/>
      </w:pPr>
      <w:r>
        <w:t xml:space="preserve">    </w:t>
      </w:r>
      <w:r>
        <w:t xml:space="preserve">d) w przypadku operacji niewchodzących w zakres lit. c) – umieszczenie w miejscu dobrze </w:t>
      </w:r>
      <w:r>
        <w:br/>
        <w:t xml:space="preserve">         </w:t>
      </w:r>
      <w:r>
        <w:t xml:space="preserve">widocznym dla ogółu co najmniej jednego plakatu o wymiarze minimum A3 lub podobnej </w:t>
      </w:r>
      <w:r>
        <w:br/>
        <w:t xml:space="preserve">         </w:t>
      </w:r>
      <w:r>
        <w:t>wielkości elektronicznego wyświetlacza, na których znajdą się informacje o operacji</w:t>
      </w:r>
      <w:r>
        <w:br/>
        <w:t xml:space="preserve">          </w:t>
      </w:r>
      <w:r>
        <w:t xml:space="preserve">z podkreśleniem faktu otrzymania wsparcia z Funduszy; w przypadku gdy beneficjent jest </w:t>
      </w:r>
      <w:r>
        <w:br/>
        <w:t xml:space="preserve">         </w:t>
      </w:r>
      <w:r>
        <w:t xml:space="preserve">osobą fizyczną, zapewnia on w miarę możliwości dostępność stosownych informacji, </w:t>
      </w:r>
      <w:r>
        <w:br/>
        <w:t xml:space="preserve">         </w:t>
      </w:r>
      <w:r>
        <w:t>z podkreśleniem faktu otrzymania wsparcia z Funduszy, w miejscu widocznym dla ogółu lub</w:t>
      </w:r>
      <w:r>
        <w:br/>
        <w:t xml:space="preserve">         </w:t>
      </w:r>
      <w:r>
        <w:t>za pośrednictwem elektronicznego wyświetlacza.</w:t>
      </w:r>
    </w:p>
    <w:p w:rsidR="005E5884" w:rsidRDefault="005E5884" w:rsidP="005E5884">
      <w:pPr>
        <w:pStyle w:val="Akapitzlist"/>
        <w:spacing w:after="120"/>
        <w:ind w:left="284"/>
        <w:jc w:val="both"/>
      </w:pPr>
      <w:r>
        <w:t xml:space="preserve"> </w:t>
      </w:r>
      <w:r>
        <w:t xml:space="preserve">   </w:t>
      </w:r>
      <w:r>
        <w:t xml:space="preserve">e) </w:t>
      </w:r>
      <w:r>
        <w:t xml:space="preserve"> </w:t>
      </w:r>
      <w:r>
        <w:t xml:space="preserve">w przypadku operacji o znaczeniu strategicznym i operacji, których łączny koszt przekracza </w:t>
      </w:r>
      <w:r>
        <w:br/>
        <w:t xml:space="preserve">          </w:t>
      </w:r>
      <w:r>
        <w:t xml:space="preserve">10 000 000 EUR, zorganizowanie wydarzenia informacyjnego lub działań komunikacyjnych, </w:t>
      </w:r>
      <w:r>
        <w:br/>
        <w:t xml:space="preserve">          </w:t>
      </w:r>
      <w:r>
        <w:t xml:space="preserve">stosownie do sytuacji, oraz włączenie w te działania Komisji i odpowiedzialnej instytucji </w:t>
      </w:r>
      <w:r>
        <w:br/>
        <w:t xml:space="preserve">          </w:t>
      </w:r>
      <w:r>
        <w:t xml:space="preserve">zarządzającej w odpowiednim terminie. </w:t>
      </w:r>
    </w:p>
    <w:p w:rsidR="005E5884" w:rsidRDefault="005E5884" w:rsidP="005E5884">
      <w:pPr>
        <w:pStyle w:val="Akapitzlist"/>
        <w:spacing w:after="120"/>
        <w:ind w:left="284"/>
        <w:jc w:val="both"/>
      </w:pPr>
    </w:p>
    <w:p w:rsidR="005E5884" w:rsidRDefault="005E5884" w:rsidP="00770FB2">
      <w:pPr>
        <w:pStyle w:val="Akapitzlist"/>
        <w:ind w:left="284"/>
        <w:jc w:val="both"/>
      </w:pPr>
      <w:r>
        <w:t>Wymóg określony w lit. d) akapitu pierwszego nie ma zastosowania w przypadku gdy beneficjent EFS+ jest osobą fizyczną lub w przypadku operacji wspieranych w ramach celu szczegółowego określonego w art. 4 ust. 1 lit. m) rozporządzenia w sprawie EFS+.</w:t>
      </w:r>
    </w:p>
    <w:p w:rsidR="00706CAA" w:rsidRDefault="00706CAA" w:rsidP="00770FB2">
      <w:pPr>
        <w:pStyle w:val="Akapitzlist"/>
        <w:ind w:left="284"/>
        <w:jc w:val="both"/>
      </w:pPr>
    </w:p>
    <w:p w:rsidR="00706CAA" w:rsidRDefault="00706CAA" w:rsidP="00770FB2">
      <w:pPr>
        <w:pStyle w:val="Akapitzlist"/>
        <w:ind w:left="284"/>
        <w:jc w:val="both"/>
      </w:pPr>
      <w:r>
        <w:t>Na zasadzie odstępstwa od akapitu pierwszego lit. c) i d), w przypadku operacji wspieranych z FAMI, FBW i IZGW w dokumencie określającym warunki wsparcia można ustanowić szczególne wymogi dotyczące umieszczania w miejscach publicznych informacji na temat wsparcia z Funduszy, gdy jest to uzasadnione względami bezpieczeństwa i porządku publicznego zgodnie z art. 69 ust. 5.</w:t>
      </w:r>
    </w:p>
    <w:p w:rsidR="00706CAA" w:rsidRDefault="00706CAA" w:rsidP="00770FB2">
      <w:pPr>
        <w:pStyle w:val="Akapitzlist"/>
        <w:ind w:left="284"/>
        <w:jc w:val="both"/>
      </w:pPr>
    </w:p>
    <w:p w:rsidR="00EA5E03" w:rsidRDefault="00706CAA" w:rsidP="00770FB2">
      <w:pPr>
        <w:pStyle w:val="Akapitzlist"/>
        <w:ind w:left="284"/>
        <w:jc w:val="both"/>
      </w:pPr>
      <w:r>
        <w:t xml:space="preserve">W/w informacje przekazywane powinny być zgodnie z zasadami Instytucji Zarządzającej, Księgą Wizualizacji znaku PS WPR, Księgą Tożsamości Wizualnej Funduszy Europejskich 2021-2027 oraz innymi dokumentami obowiązującymi w LGD. </w:t>
      </w:r>
    </w:p>
    <w:p w:rsidR="00EA5E03" w:rsidRDefault="00EA5E03" w:rsidP="00770FB2">
      <w:pPr>
        <w:pStyle w:val="Akapitzlist"/>
        <w:ind w:left="284"/>
        <w:jc w:val="both"/>
      </w:pPr>
    </w:p>
    <w:p w:rsidR="00706CAA" w:rsidRDefault="00706CAA" w:rsidP="00770FB2">
      <w:pPr>
        <w:pStyle w:val="Akapitzlist"/>
        <w:ind w:left="284"/>
        <w:jc w:val="both"/>
      </w:pPr>
      <w:r>
        <w:t>Przydatne linki:</w:t>
      </w:r>
    </w:p>
    <w:p w:rsidR="00706CAA" w:rsidRDefault="00706CAA" w:rsidP="00770FB2">
      <w:pPr>
        <w:pStyle w:val="Akapitzlist"/>
        <w:ind w:left="284"/>
        <w:jc w:val="both"/>
      </w:pPr>
      <w:r>
        <w:t xml:space="preserve">Księga wizualizacji znaku PS WPR: </w:t>
      </w:r>
      <w:hyperlink r:id="rId11" w:history="1">
        <w:r w:rsidRPr="000648D3">
          <w:rPr>
            <w:rStyle w:val="Hipercze"/>
          </w:rPr>
          <w:t>https://www.gov.pl/web/rolnictwo/ksiega-wizualizacji</w:t>
        </w:r>
      </w:hyperlink>
    </w:p>
    <w:p w:rsidR="00706CAA" w:rsidRDefault="00706CAA" w:rsidP="00770FB2">
      <w:pPr>
        <w:pStyle w:val="Akapitzlist"/>
        <w:ind w:left="284"/>
        <w:jc w:val="both"/>
      </w:pPr>
      <w:r>
        <w:t xml:space="preserve">Księga Tożsamości Wizualnej Funduszy Europejskich 2021 - 2027: </w:t>
      </w:r>
      <w:hyperlink r:id="rId12" w:history="1">
        <w:r w:rsidRPr="000648D3">
          <w:rPr>
            <w:rStyle w:val="Hipercze"/>
          </w:rPr>
          <w:t>https://www.funduszeeuropejskie.gov.pl/media/111705/KTW_marki_FE_2021-2027.pdf</w:t>
        </w:r>
      </w:hyperlink>
      <w:r>
        <w:t xml:space="preserve"> </w:t>
      </w:r>
    </w:p>
    <w:p w:rsidR="00DD2B33" w:rsidRDefault="00DD2B33" w:rsidP="00770FB2">
      <w:pPr>
        <w:pStyle w:val="Akapitzlist"/>
        <w:ind w:left="284"/>
        <w:jc w:val="both"/>
      </w:pPr>
    </w:p>
    <w:p w:rsidR="00DD2B33" w:rsidRDefault="00DD2B33" w:rsidP="00770FB2">
      <w:pPr>
        <w:pStyle w:val="Akapitzlist"/>
        <w:ind w:left="284"/>
        <w:jc w:val="both"/>
      </w:pPr>
    </w:p>
    <w:p w:rsidR="00DD2B33" w:rsidRDefault="00DD2B33" w:rsidP="00770FB2">
      <w:pPr>
        <w:pStyle w:val="Akapitzlist"/>
        <w:ind w:left="284"/>
        <w:jc w:val="both"/>
      </w:pPr>
    </w:p>
    <w:p w:rsidR="00DD2B33" w:rsidRDefault="00DD2B33" w:rsidP="00770FB2">
      <w:pPr>
        <w:pStyle w:val="Akapitzlist"/>
        <w:ind w:left="284"/>
        <w:jc w:val="both"/>
      </w:pPr>
    </w:p>
    <w:p w:rsidR="00DD2B33" w:rsidRDefault="00DD2B33" w:rsidP="00770FB2">
      <w:pPr>
        <w:pStyle w:val="Akapitzlist"/>
        <w:ind w:left="284"/>
        <w:jc w:val="both"/>
      </w:pPr>
    </w:p>
    <w:p w:rsidR="00DD2B33" w:rsidRDefault="00DD2B33" w:rsidP="00770FB2">
      <w:pPr>
        <w:pStyle w:val="Akapitzlist"/>
        <w:ind w:left="284"/>
        <w:jc w:val="both"/>
      </w:pPr>
      <w:r>
        <w:t>Stowarzyszenie „Dolina Noteci”</w:t>
      </w:r>
    </w:p>
    <w:p w:rsidR="00DD2B33" w:rsidRDefault="00DD2B33" w:rsidP="00770FB2">
      <w:pPr>
        <w:pStyle w:val="Akapitzlist"/>
        <w:ind w:left="284"/>
        <w:jc w:val="both"/>
      </w:pPr>
      <w:r>
        <w:t>ul. Sienkiewicza 2</w:t>
      </w:r>
    </w:p>
    <w:p w:rsidR="00DD2B33" w:rsidRDefault="00DD2B33" w:rsidP="00770FB2">
      <w:pPr>
        <w:pStyle w:val="Akapitzlist"/>
        <w:ind w:left="284"/>
        <w:jc w:val="both"/>
      </w:pPr>
      <w:r>
        <w:t>64-800 Chodzież</w:t>
      </w:r>
    </w:p>
    <w:p w:rsidR="00EA5E03" w:rsidRDefault="00DD2B33" w:rsidP="00770FB2">
      <w:pPr>
        <w:pStyle w:val="Akapitzlist"/>
        <w:ind w:left="284"/>
        <w:jc w:val="both"/>
      </w:pPr>
      <w:r>
        <w:t>Tel. 693 933 246</w:t>
      </w:r>
    </w:p>
    <w:p w:rsidR="00DD2B33" w:rsidRDefault="00DD2B33" w:rsidP="00770FB2">
      <w:pPr>
        <w:pStyle w:val="Akapitzlist"/>
        <w:ind w:left="284"/>
        <w:jc w:val="both"/>
      </w:pPr>
      <w:r>
        <w:t xml:space="preserve">Mail: </w:t>
      </w:r>
      <w:hyperlink r:id="rId13" w:history="1">
        <w:r w:rsidRPr="000648D3">
          <w:rPr>
            <w:rStyle w:val="Hipercze"/>
          </w:rPr>
          <w:t>biuro@dolinanoteci.com.pl</w:t>
        </w:r>
      </w:hyperlink>
      <w:r>
        <w:t xml:space="preserve"> </w:t>
      </w:r>
    </w:p>
    <w:p w:rsidR="00EA5E03" w:rsidRDefault="00EA5E03" w:rsidP="00770FB2">
      <w:pPr>
        <w:pStyle w:val="Akapitzlist"/>
        <w:ind w:left="284"/>
        <w:jc w:val="both"/>
        <w:rPr>
          <w:b/>
          <w:sz w:val="24"/>
          <w:szCs w:val="24"/>
        </w:rPr>
      </w:pPr>
    </w:p>
    <w:sectPr w:rsidR="00EA5E0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6A" w:rsidRDefault="00F14A6A" w:rsidP="00E23DC0">
      <w:pPr>
        <w:spacing w:after="0" w:line="240" w:lineRule="auto"/>
      </w:pPr>
      <w:r>
        <w:separator/>
      </w:r>
    </w:p>
  </w:endnote>
  <w:endnote w:type="continuationSeparator" w:id="0">
    <w:p w:rsidR="00F14A6A" w:rsidRDefault="00F14A6A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6A" w:rsidRDefault="00F14A6A" w:rsidP="00E23DC0">
      <w:pPr>
        <w:spacing w:after="0" w:line="240" w:lineRule="auto"/>
      </w:pPr>
      <w:r>
        <w:separator/>
      </w:r>
    </w:p>
  </w:footnote>
  <w:footnote w:type="continuationSeparator" w:id="0">
    <w:p w:rsidR="00F14A6A" w:rsidRDefault="00F14A6A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Default="002111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-201930</wp:posOffset>
          </wp:positionV>
          <wp:extent cx="6819265" cy="1057275"/>
          <wp:effectExtent l="0" t="0" r="635" b="9525"/>
          <wp:wrapTight wrapText="bothSides">
            <wp:wrapPolygon edited="0">
              <wp:start x="0" y="0"/>
              <wp:lineTo x="0" y="21405"/>
              <wp:lineTo x="21542" y="21405"/>
              <wp:lineTo x="2154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2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3E70" w:rsidRPr="00553E70"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6DC620A"/>
    <w:multiLevelType w:val="hybridMultilevel"/>
    <w:tmpl w:val="92706364"/>
    <w:lvl w:ilvl="0" w:tplc="66508DE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16C03"/>
    <w:multiLevelType w:val="hybridMultilevel"/>
    <w:tmpl w:val="2F182B9A"/>
    <w:lvl w:ilvl="0" w:tplc="B72A421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72406"/>
    <w:rsid w:val="001116AF"/>
    <w:rsid w:val="00157626"/>
    <w:rsid w:val="00185E2C"/>
    <w:rsid w:val="001A6238"/>
    <w:rsid w:val="00210EE1"/>
    <w:rsid w:val="00211167"/>
    <w:rsid w:val="00261F2A"/>
    <w:rsid w:val="002643C0"/>
    <w:rsid w:val="002B2FF8"/>
    <w:rsid w:val="002B6F3B"/>
    <w:rsid w:val="002B74F8"/>
    <w:rsid w:val="002C682E"/>
    <w:rsid w:val="002F61A4"/>
    <w:rsid w:val="00344FFA"/>
    <w:rsid w:val="00411DC4"/>
    <w:rsid w:val="005211D5"/>
    <w:rsid w:val="00524D0B"/>
    <w:rsid w:val="00553E70"/>
    <w:rsid w:val="00557C58"/>
    <w:rsid w:val="005E5884"/>
    <w:rsid w:val="006276A4"/>
    <w:rsid w:val="00660B8F"/>
    <w:rsid w:val="006B4963"/>
    <w:rsid w:val="00706CAA"/>
    <w:rsid w:val="00740F18"/>
    <w:rsid w:val="00770FB2"/>
    <w:rsid w:val="007B78E3"/>
    <w:rsid w:val="007E534C"/>
    <w:rsid w:val="00921018"/>
    <w:rsid w:val="00971CB8"/>
    <w:rsid w:val="009F1693"/>
    <w:rsid w:val="009F50CB"/>
    <w:rsid w:val="00A3749D"/>
    <w:rsid w:val="00AF4313"/>
    <w:rsid w:val="00B63EDF"/>
    <w:rsid w:val="00B65732"/>
    <w:rsid w:val="00B96ECF"/>
    <w:rsid w:val="00BD623A"/>
    <w:rsid w:val="00BE08AA"/>
    <w:rsid w:val="00BE1316"/>
    <w:rsid w:val="00BF5365"/>
    <w:rsid w:val="00C50FA3"/>
    <w:rsid w:val="00C60384"/>
    <w:rsid w:val="00C663A0"/>
    <w:rsid w:val="00C84DAB"/>
    <w:rsid w:val="00CE6EA6"/>
    <w:rsid w:val="00CF3608"/>
    <w:rsid w:val="00D0548C"/>
    <w:rsid w:val="00D27053"/>
    <w:rsid w:val="00D64F8B"/>
    <w:rsid w:val="00D879E2"/>
    <w:rsid w:val="00DA09C9"/>
    <w:rsid w:val="00DD2B33"/>
    <w:rsid w:val="00DF7300"/>
    <w:rsid w:val="00E23DC0"/>
    <w:rsid w:val="00EA5E03"/>
    <w:rsid w:val="00EB4278"/>
    <w:rsid w:val="00F1161B"/>
    <w:rsid w:val="00F14A6A"/>
    <w:rsid w:val="00F178DD"/>
    <w:rsid w:val="00F511F1"/>
    <w:rsid w:val="00F76AD0"/>
    <w:rsid w:val="00FA2F9F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0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ksiega-wizualizacji" TargetMode="External"/><Relationship Id="rId13" Type="http://schemas.openxmlformats.org/officeDocument/2006/relationships/hyperlink" Target="mailto:biuro@dolinanoteci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media/111705/KTW_marki_FE_2021-2027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rolnictwo/ksiega-wizualizacj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unduszeeuropejskie.gov.pl/strony/o-funduszach/fundusze-2021-2027/prawo-idokumenty/zasady-komunikacji-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rpo.wielkopolskie.pl/realizuje-projekt/poznaj-zasady-promowania-projektu/zasadydla-umow-podpisanych-od-1-stycznia-2018-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2CED-A43D-405A-950B-716652E7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4</cp:revision>
  <cp:lastPrinted>2018-03-14T12:32:00Z</cp:lastPrinted>
  <dcterms:created xsi:type="dcterms:W3CDTF">2024-07-16T09:21:00Z</dcterms:created>
  <dcterms:modified xsi:type="dcterms:W3CDTF">2024-07-16T09:38:00Z</dcterms:modified>
</cp:coreProperties>
</file>