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w:t>
      </w:r>
      <w:r w:rsidR="00E86BC9" w:rsidRPr="00E86BC9">
        <w:lastRenderedPageBreak/>
        <w:t>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w:t>
      </w:r>
      <w:r w:rsidR="00F31B6F" w:rsidRPr="001F080E">
        <w:lastRenderedPageBreak/>
        <w:t xml:space="preserve">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lastRenderedPageBreak/>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xml:space="preserve">…………………………………...… </w:t>
      </w:r>
      <w:r w:rsidRPr="001F080E">
        <w:rPr>
          <w:sz w:val="24"/>
          <w:szCs w:val="24"/>
        </w:rPr>
        <w:lastRenderedPageBreak/>
        <w:t>…………………………………………………………………………………………………...</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lastRenderedPageBreak/>
        <w:t>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lastRenderedPageBreak/>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lastRenderedPageBreak/>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lastRenderedPageBreak/>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 xml:space="preserve">nieprzenoszenia prawa własności lub posiadania nabytych dóbr, wybudowanych, </w:t>
      </w:r>
      <w:r w:rsidR="00F31B6F" w:rsidRPr="001F080E">
        <w:lastRenderedPageBreak/>
        <w:t>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w:t>
      </w:r>
      <w:r w:rsidR="00F31AC0" w:rsidRPr="008B6B28">
        <w:lastRenderedPageBreak/>
        <w:t xml:space="preserve">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przedstawienia wraz z wnioskiem o płatność końcową dokumentów potwierdzających </w:t>
      </w:r>
      <w:r w:rsidRPr="001F080E">
        <w:rPr>
          <w:sz w:val="24"/>
          <w:szCs w:val="24"/>
        </w:rPr>
        <w:lastRenderedPageBreak/>
        <w:t>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lastRenderedPageBreak/>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lastRenderedPageBreak/>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 xml:space="preserve">w terminie 7 dni od dnia doręczenia </w:t>
      </w:r>
      <w:r w:rsidRPr="001F080E">
        <w:rPr>
          <w:sz w:val="24"/>
          <w:szCs w:val="24"/>
        </w:rPr>
        <w:lastRenderedPageBreak/>
        <w:t>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lastRenderedPageBreak/>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lastRenderedPageBreak/>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w:t>
      </w:r>
      <w:r w:rsidR="00EF5771">
        <w:rPr>
          <w:sz w:val="24"/>
          <w:szCs w:val="24"/>
        </w:rPr>
        <w:lastRenderedPageBreak/>
        <w:t xml:space="preserve">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Rozliczenie wyprzedzającego finansowania następuje przez pomniejszenie kwoty pomocy do wypłaty o kwotę stanowiącą udział krajowych środków publicznych, jednak suma tych </w:t>
      </w:r>
      <w:r w:rsidRPr="001F080E">
        <w:rPr>
          <w:sz w:val="24"/>
          <w:szCs w:val="24"/>
        </w:rPr>
        <w:lastRenderedPageBreak/>
        <w:t>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xml:space="preserve">– kwotę pomocy do wypłaty pomniejsza się o 1% tej </w:t>
      </w:r>
      <w:r w:rsidRPr="008B6B28">
        <w:lastRenderedPageBreak/>
        <w:t>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Jeżeli ogólna ocena wniosku prowadzi do ustalenia przez Zarząd Województwa poważnej </w:t>
      </w:r>
      <w:r w:rsidRPr="001F080E">
        <w:rPr>
          <w:sz w:val="24"/>
          <w:szCs w:val="24"/>
        </w:rPr>
        <w:lastRenderedPageBreak/>
        <w:t>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lastRenderedPageBreak/>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r>
      <w:r w:rsidRPr="001F080E">
        <w:rPr>
          <w:sz w:val="24"/>
          <w:szCs w:val="24"/>
        </w:rPr>
        <w:lastRenderedPageBreak/>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w:t>
      </w:r>
      <w:r w:rsidRPr="001F080E">
        <w:rPr>
          <w:sz w:val="24"/>
          <w:szCs w:val="24"/>
        </w:rPr>
        <w:lastRenderedPageBreak/>
        <w:t>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 xml:space="preserve">05 1010 1010 0088 </w:t>
      </w:r>
      <w:r w:rsidRPr="001F080E">
        <w:rPr>
          <w:rFonts w:ascii="Times New Roman" w:eastAsia="Times New Roman" w:hAnsi="Times New Roman"/>
          <w:b/>
          <w:sz w:val="24"/>
          <w:szCs w:val="24"/>
          <w:lang w:eastAsia="pl-PL"/>
        </w:rPr>
        <w:lastRenderedPageBreak/>
        <w:t>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w:t>
      </w:r>
      <w:r w:rsidRPr="001F080E">
        <w:rPr>
          <w:rFonts w:ascii="Times New Roman" w:eastAsia="Times New Roman" w:hAnsi="Times New Roman" w:cs="Arial"/>
          <w:sz w:val="24"/>
          <w:szCs w:val="24"/>
          <w:lang w:eastAsia="pl-PL"/>
        </w:rPr>
        <w:lastRenderedPageBreak/>
        <w:t>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lastRenderedPageBreak/>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lastRenderedPageBreak/>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w:t>
      </w:r>
      <w:r w:rsidRPr="001F080E">
        <w:rPr>
          <w:sz w:val="24"/>
          <w:szCs w:val="24"/>
        </w:rPr>
        <w:lastRenderedPageBreak/>
        <w:t>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t>
      </w:r>
      <w:r w:rsidRPr="001F080E">
        <w:rPr>
          <w:rFonts w:ascii="Times New Roman" w:eastAsia="Times New Roman" w:hAnsi="Times New Roman"/>
          <w:sz w:val="24"/>
          <w:szCs w:val="24"/>
          <w:lang w:eastAsia="pl-PL"/>
        </w:rPr>
        <w:lastRenderedPageBreak/>
        <w:t xml:space="preserve">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w:t>
      </w:r>
      <w:r w:rsidR="00FF21AF" w:rsidRPr="006658A6">
        <w:rPr>
          <w:rFonts w:ascii="Times New Roman" w:hAnsi="Times New Roman"/>
          <w:sz w:val="24"/>
          <w:szCs w:val="24"/>
        </w:rPr>
        <w:lastRenderedPageBreak/>
        <w:t>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 xml:space="preserve">zwolnienia Beneficjenta z zabezpieczonych zobowiązań przed upływem terminu </w:t>
      </w:r>
      <w:r w:rsidRPr="001F080E">
        <w:lastRenderedPageBreak/>
        <w:t>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t>
      </w:r>
      <w:r w:rsidRPr="008C737D">
        <w:rPr>
          <w:rFonts w:ascii="Times New Roman" w:eastAsia="Times New Roman" w:hAnsi="Times New Roman"/>
          <w:sz w:val="24"/>
          <w:szCs w:val="24"/>
          <w:lang w:eastAsia="pl-PL"/>
        </w:rPr>
        <w:lastRenderedPageBreak/>
        <w:t xml:space="preserve">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ust. 1 skutkuje pozostawieniem prośby o ponowne rozpatrzenie sprawy bez rozpatrzenia </w:t>
      </w:r>
      <w:r w:rsidRPr="001F080E">
        <w:rPr>
          <w:rFonts w:ascii="Times New Roman" w:eastAsia="Times New Roman" w:hAnsi="Times New Roman"/>
          <w:sz w:val="24"/>
          <w:szCs w:val="24"/>
          <w:lang w:eastAsia="pl-PL"/>
        </w:rPr>
        <w:lastRenderedPageBreak/>
        <w:t>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 xml:space="preserve">r. w sprawie ochrony osób fizycznych w związku z przetwarzaniem danych osobowych i w sprawie swobodnego przepływu takich danych oraz uchylenia dyrektywy 95/46/WE (ogólne rozporządzenie o ochronie danych) (Dz. Urz. UE L 119 z 04.05.2016, </w:t>
      </w:r>
      <w:r w:rsidRPr="003D3AF6">
        <w:rPr>
          <w:sz w:val="24"/>
          <w:szCs w:val="24"/>
        </w:rPr>
        <w:lastRenderedPageBreak/>
        <w:t>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t>
      </w:r>
      <w:r w:rsidR="00EF37B8">
        <w:lastRenderedPageBreak/>
        <w:t xml:space="preserve">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9189" w14:textId="77777777" w:rsidR="00606E57" w:rsidRDefault="00606E57" w:rsidP="00F31B6F">
      <w:r>
        <w:separator/>
      </w:r>
    </w:p>
  </w:endnote>
  <w:endnote w:type="continuationSeparator" w:id="0">
    <w:p w14:paraId="1E51CF47" w14:textId="77777777" w:rsidR="00606E57" w:rsidRDefault="00606E57"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C0629D">
      <w:rPr>
        <w:rFonts w:ascii="Cambria" w:hAnsi="Cambria"/>
        <w:b/>
        <w:noProof/>
      </w:rPr>
      <w:t>2</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C0629D">
      <w:rPr>
        <w:rFonts w:ascii="Cambria" w:hAnsi="Cambria"/>
        <w:b/>
        <w:noProof/>
      </w:rPr>
      <w:t>41</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AD656" w14:textId="77777777" w:rsidR="00606E57" w:rsidRDefault="00606E57" w:rsidP="00F31B6F">
      <w:r>
        <w:separator/>
      </w:r>
    </w:p>
  </w:footnote>
  <w:footnote w:type="continuationSeparator" w:id="0">
    <w:p w14:paraId="6DAD7698" w14:textId="77777777" w:rsidR="00606E57" w:rsidRDefault="00606E57"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6E57"/>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29D"/>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08FBFD-4A37-4672-9ECC-F0C94F18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Tatiana</cp:lastModifiedBy>
  <cp:revision>3</cp:revision>
  <cp:lastPrinted>2022-07-05T07:17:00Z</cp:lastPrinted>
  <dcterms:created xsi:type="dcterms:W3CDTF">2022-09-20T08:38:00Z</dcterms:created>
  <dcterms:modified xsi:type="dcterms:W3CDTF">2022-09-20T08:38:00Z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