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3B" w:rsidRPr="00683F1D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683F1D">
        <w:rPr>
          <w:rFonts w:ascii="Times New Roman" w:eastAsia="SimSun" w:hAnsi="Times New Roman" w:cs="Mangal"/>
          <w:noProof/>
          <w:kern w:val="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09712E" wp14:editId="7247C88D">
            <wp:simplePos x="0" y="0"/>
            <wp:positionH relativeFrom="column">
              <wp:posOffset>5244465</wp:posOffset>
            </wp:positionH>
            <wp:positionV relativeFrom="paragraph">
              <wp:posOffset>10067290</wp:posOffset>
            </wp:positionV>
            <wp:extent cx="2093595" cy="502920"/>
            <wp:effectExtent l="0" t="0" r="1905" b="0"/>
            <wp:wrapNone/>
            <wp:docPr id="36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F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Załącznik nr 12c </w:t>
      </w: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390AD0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Stowarzyszenie Dolina Noteci</w:t>
      </w: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390A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Karta merytoryczna</w:t>
      </w: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390A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Oceny operacji według lokalnych kryteriów</w:t>
      </w: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390A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Działanie: Projekty Grantowe – wzmocnienie kapitału społecznego</w:t>
      </w: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535"/>
      </w:tblGrid>
      <w:tr w:rsidR="0098233B" w:rsidRPr="00390AD0" w:rsidTr="00FC4503">
        <w:trPr>
          <w:trHeight w:val="3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Cel ogólny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Poprawienie jakości życia i stwarzanie warunków do dalszego harmonijnego rozwoju lokalnej społeczności</w:t>
            </w:r>
          </w:p>
        </w:tc>
      </w:tr>
      <w:tr w:rsidR="0098233B" w:rsidRPr="00390AD0" w:rsidTr="00FC4503">
        <w:trPr>
          <w:trHeight w:val="41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Cel szczegółowy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Wzmocnienie kapitału społecznego</w:t>
            </w:r>
          </w:p>
        </w:tc>
      </w:tr>
      <w:tr w:rsidR="0098233B" w:rsidRPr="00390AD0" w:rsidTr="00FC4503">
        <w:trPr>
          <w:trHeight w:val="41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Przedsięwzięcie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Wzmocnienie aktywności i integracji społecznej oraz wspieranie podmiotów działających w tych dziedzinach</w:t>
            </w:r>
          </w:p>
        </w:tc>
      </w:tr>
      <w:tr w:rsidR="0098233B" w:rsidRPr="00390AD0" w:rsidTr="00FC4503">
        <w:trPr>
          <w:trHeight w:val="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Wskaźnik produktu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/>
                <w:strike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Liczba wydarzeń/imprez</w:t>
            </w:r>
          </w:p>
        </w:tc>
      </w:tr>
      <w:tr w:rsidR="0098233B" w:rsidRPr="00390AD0" w:rsidTr="00FC4503">
        <w:trPr>
          <w:trHeight w:val="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Wskaźnik rezultatu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Liczba osób biorących udział w wydarzeniach edukacyjnych, kulturalnych i sportowych dla mieszkańców obszaru LSR</w:t>
            </w:r>
          </w:p>
        </w:tc>
      </w:tr>
    </w:tbl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4551"/>
      </w:tblGrid>
      <w:tr w:rsidR="0098233B" w:rsidRPr="00390AD0" w:rsidTr="00FC4503">
        <w:trPr>
          <w:trHeight w:val="612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Numer wniosku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98233B" w:rsidRPr="00390AD0" w:rsidTr="00FC4503">
        <w:trPr>
          <w:trHeight w:val="612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Złożony przez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98233B" w:rsidRPr="00390AD0" w:rsidTr="00FC4503">
        <w:trPr>
          <w:trHeight w:val="502"/>
        </w:trPr>
        <w:tc>
          <w:tcPr>
            <w:tcW w:w="22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Złożony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 dniu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98233B" w:rsidRPr="00390AD0" w:rsidTr="00FC4503">
        <w:trPr>
          <w:trHeight w:val="463"/>
        </w:trPr>
        <w:tc>
          <w:tcPr>
            <w:tcW w:w="22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 godzinie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98233B" w:rsidRPr="00390AD0" w:rsidTr="00FC4503">
        <w:trPr>
          <w:trHeight w:val="786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Tytuł operacji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</w:tbl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387"/>
        <w:gridCol w:w="1559"/>
        <w:gridCol w:w="1432"/>
      </w:tblGrid>
      <w:tr w:rsidR="0098233B" w:rsidRPr="00390AD0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Lokalne kryteria wyboru operacji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Przewidziana ilość punktów za kryterium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Przyznaję punktów</w:t>
            </w:r>
          </w:p>
        </w:tc>
      </w:tr>
      <w:tr w:rsidR="0098233B" w:rsidRPr="00390AD0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Grantobiorca jest członkiem LGD i ma opłaconą składkę członkowską – 5 pkt</w:t>
            </w:r>
          </w:p>
          <w:p w:rsidR="0098233B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Grantobiorca nie jest członkiem LGD lub nie ma opłaconej składki członkowskiej – 0 pkt</w:t>
            </w:r>
          </w:p>
          <w:p w:rsidR="00F24674" w:rsidRPr="00390AD0" w:rsidRDefault="00F24674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674" w:rsidRDefault="00F24674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F24674" w:rsidRDefault="00F24674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 lub 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33B" w:rsidRPr="00390AD0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246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Zaplanowano działania informujące o dofinansowaniu ze środków PROW, zgodnie z wytycznymi </w:t>
            </w: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(zgodnie z Księgą Wizualizacji PROW 2014-2020)</w:t>
            </w: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: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Strona internetowa – 2 pkt</w:t>
            </w:r>
          </w:p>
          <w:p w:rsidR="0098233B" w:rsidRPr="00683F1D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Brak informacji – 0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Maksymalna </w:t>
            </w: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ilość </w:t>
            </w: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punktów do zdobycia –</w:t>
            </w: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10" w:rsidRDefault="008E0010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E0010" w:rsidRDefault="008E0010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 lub 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33B" w:rsidRPr="00390AD0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Wnioskowana kwota pomocy wynosi:</w:t>
            </w:r>
          </w:p>
          <w:p w:rsidR="0098233B" w:rsidRPr="00683F1D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od 5 do 25 tys. - 6 pkt</w:t>
            </w:r>
          </w:p>
          <w:p w:rsidR="0098233B" w:rsidRPr="00683F1D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powyżej 25 tys. do 35 tys. - 4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powyżej 35 tys. </w:t>
            </w: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do 45 tys. - 2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powyżej 45 tys. - 0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Kryterium rozłączne. Preferuje się wnioski o mniejszej kwocie dofinansowania. Kwota pomocy wynika ze złożonego wniosku.</w:t>
            </w:r>
          </w:p>
          <w:p w:rsidR="008E0010" w:rsidRPr="00390AD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1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E001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 lub 4 lub 2 lub 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33B" w:rsidRPr="00390AD0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683F1D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Planowany czas realizacji </w:t>
            </w: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operacji po podpisaniu umowy:</w:t>
            </w:r>
          </w:p>
          <w:p w:rsidR="0098233B" w:rsidRPr="00683F1D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55C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do</w:t>
            </w:r>
            <w:r w:rsidRPr="0098233B">
              <w:rPr>
                <w:rFonts w:ascii="Times New Roman" w:eastAsia="SimSun" w:hAnsi="Times New Roman"/>
                <w:color w:val="00B05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 miesięcy – 8</w:t>
            </w:r>
            <w:r w:rsidR="005D2FE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pkt</w:t>
            </w:r>
          </w:p>
          <w:p w:rsidR="0098233B" w:rsidRPr="00683F1D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powyżej 6 do 8 miesięcy – 4 pkt</w:t>
            </w:r>
          </w:p>
          <w:p w:rsidR="0098233B" w:rsidRPr="00683F1D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powyżej 8 miesięcy – 0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Kryterium rozłączne. Wynika z wniosku lub z oświadczenia Grantobiorcy. Czas realizacji liczony jest od dnia podpisania umowy. Preferuje się operacje, które przewidują krótszy czas realizacji, co wiąże się również z ogólną gotowością projektu do wykonania.</w:t>
            </w:r>
          </w:p>
          <w:p w:rsidR="008E0010" w:rsidRPr="00390AD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1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E001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8 lub 4 lub 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33B" w:rsidRPr="00390AD0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Zakres działania skierowany jest do grupy osób defaworyzowanych: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Kobieta, osoba niepełnosprawna, osoba powyżej 55 roku życia, osoba do 26 roku życia – 3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Zakres działań nie jest skierowany do grupy w/w osób defaworyzowanych – 0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Wynika z opisu we wniosku </w:t>
            </w: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oraz uzasadnienia i formularza oceny własnej.</w:t>
            </w: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Kryterium wynika z konsultacji społecznych. Kryterium przyjęto, aby zachęcić Grantobiorców do podejmowania działań polegających na aktywizacji grup defaworyzowanych.</w:t>
            </w:r>
          </w:p>
          <w:p w:rsidR="008E0010" w:rsidRPr="00390AD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1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E001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 lub 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33B" w:rsidRPr="00390AD0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Grantobiorca przewidział wykorzystanie rozwiązań sprzyjających ochronie środowiska i podnoszeniu świadomości ekologicznej – 3pkt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Grantobiorca</w:t>
            </w: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nie </w:t>
            </w: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przewidział wykorzystania rozwiązań sprzyjających ochronie środowiska i podnoszeniu świadomości ekologicznej – 0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Grantobiorca opisał zaplanowane działania i narzędzia oraz uzasadnił ich wykorzystanie w kontekście prowadzonej działalności. Kryterium wynika z konsultacji społecznych, diagnozy i analizy SWOT. Preferuje się operacje uwzględniające aspekt ekologiczny: inwestycyjny, edukacyjny.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1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E001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 lub 0</w:t>
            </w:r>
          </w:p>
          <w:p w:rsidR="0098233B" w:rsidRPr="00390AD0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33B" w:rsidRPr="00390AD0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Grantobiorca wziął udział w: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Budowie LSR – 2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Szkoleniu przed naborem – 2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Doradztwie indywidualnym – 2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Żadne z powyższych – 0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Kryterium łączne. Maksymalna</w:t>
            </w:r>
            <w:r w:rsidRPr="00390AD0">
              <w:rPr>
                <w:rFonts w:ascii="Times New Roman" w:eastAsia="SimSun" w:hAnsi="Times New Roman"/>
                <w:color w:val="FF3333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ilość</w:t>
            </w:r>
            <w:r w:rsidRPr="00390AD0">
              <w:rPr>
                <w:rFonts w:ascii="Times New Roman" w:eastAsia="SimSun" w:hAnsi="Times New Roman"/>
                <w:color w:val="FF3333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punktów do zdobycia: 6. Ilość przyznanych punktów określa się na podstawie list obecności i karty doradztwa. Preferuje się: operacje zgłoszone w trakcie budowy LSR; osoby biorące udział w konsultacjach społecznych dot. budowy LSR; jak również osoby korzystające ze szkoleń i doradztwa indywidualnego w trakcie przygotowania wniosku.</w:t>
            </w:r>
          </w:p>
          <w:p w:rsidR="008E0010" w:rsidRPr="00390AD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1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E001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 lub 4 lub 2 lub 0</w:t>
            </w:r>
          </w:p>
          <w:p w:rsidR="0098233B" w:rsidRPr="00390AD0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33B" w:rsidRPr="00390AD0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 realizacji operacji przewidziano udział osób należących do grupy defaworyzowanej- 2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 realizacji operacji nie przewidziano udział</w:t>
            </w: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u </w:t>
            </w: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osób należących do grupy defaworyzowanej- 0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Wynika z opisu we wniosku ze wskazaniem realizowanych działań. Kryterium przyjęto, aby zachęcić Grantobiorców do podejmowania działań polegających na aktywizacji grup defaworyzowanych.</w:t>
            </w:r>
          </w:p>
          <w:p w:rsidR="008E0010" w:rsidRPr="00390AD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1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E001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 lub 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33B" w:rsidRPr="00390AD0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9.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Grantobiorca</w:t>
            </w: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będący osobą fizyczną</w:t>
            </w: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jest zameldowany na pobyt stały od 2 lat na terenie LSR licząc do dnia złożenia wniosku- 10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Grantobiorca</w:t>
            </w:r>
            <w:r w:rsidRPr="00390AD0">
              <w:rPr>
                <w:rFonts w:ascii="Times New Roman" w:eastAsia="SimSun" w:hAnsi="Times New Roman"/>
                <w:color w:val="FF3333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będący osobą fizyczną </w:t>
            </w: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 jest zameldowany na pobyt stały od 2 lat na obszarze LSR licząc do dnia złożenia wniosku- 0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Należy dołączyć zaświadczenie wydane przez właściwą Ewidencję Ludności potwierdzające zameldowanie na pobyt stały lub tymczasowy. Kryterium przyjęto, aby preferować Grantobiorców stanowiących część społeczności lokalnej zamieszkującej obszar objęty strategią.</w:t>
            </w:r>
          </w:p>
          <w:p w:rsidR="008E0010" w:rsidRPr="00390AD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1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E001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10 lub 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33B" w:rsidRPr="00390AD0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Grantobiorca będący organizacją pozarządową ma siedzibę na obszarze objętym LSR- 10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Grantobiorca będący organizacją pozarządową ma siedzibę poza obszarem LSR- 0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Potwierdzeniem jest wydruk z KRS. Kryterium przyjęto, aby preferować Grantobiorców stanowiących część społeczności lokalnej zamieszkującej obszar objęty strategią.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1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E001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10 lub 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33B" w:rsidRPr="00390AD0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trike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Grantobiorca nastawiony jest na działania innowacyjne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98233B" w:rsidRPr="00683F1D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Tak – 5</w:t>
            </w:r>
          </w:p>
          <w:p w:rsidR="0098233B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Nie – 0 </w:t>
            </w:r>
          </w:p>
          <w:p w:rsidR="008E0010" w:rsidRPr="00683F1D" w:rsidRDefault="008E0010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Grantobiorca opisał zaplanowane innowacyjne działania i narzędzia </w:t>
            </w: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oraz</w:t>
            </w: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uzasadnił ich wykorzystanie w </w:t>
            </w: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planowanego projektu. </w:t>
            </w: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Kryterium wynika z konsultacji społecznych, diagnozy i analizy SWOT.</w:t>
            </w:r>
          </w:p>
          <w:p w:rsidR="008E0010" w:rsidRPr="00390AD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1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E001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 lub 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33B" w:rsidRPr="00390AD0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Realizacja operacji przyczyni się do lepszego wykorzystania zasobów: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Kulturalnych – 2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Przyrodniczo – krajobrazowych – 2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Historycznych – 2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Żadne z powyższych – 0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98233B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Kryterium łączne. Razem punktów można zdobyć – 6. Wynika z opisu we wniosku. Kryterium ma zachęcić do lepszego wykorzystania mocnych stron obszaru jakimi są cenne zasoby przyrodniczo – krajobrazowe, historyczne i kulturowe.</w:t>
            </w:r>
          </w:p>
          <w:p w:rsidR="008E0010" w:rsidRPr="00390AD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10" w:rsidRDefault="008E0010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8E0010" w:rsidRDefault="008E0010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6 lub 4 lub 2 lub 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33B" w:rsidRPr="00390AD0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Wyczerpujące uzasadnienie potrzeb realizacji projektu- 5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Niewystarczające uzasadnienie potrzeb realizacji projektu- 0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Wynika z opisu we wniosku lub oświadczeniu Grantobiorcy. Kryterium wynika z konsultacji społecznych.</w:t>
            </w:r>
          </w:p>
          <w:p w:rsidR="008E0010" w:rsidRPr="00390AD0" w:rsidRDefault="008E0010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10" w:rsidRDefault="008E0010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E0010" w:rsidRDefault="008E0010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 lub 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33B" w:rsidRPr="00390AD0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Możliwość realizacji działań przy założonym czasie i budżecie- 5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Brak możliwości realizacji działań przy założonym czasie i budżecie- 0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Na podstawie złożonego wniosku- opinia członków Rady. Kryterium wynika z konsultacji społecznych.</w:t>
            </w:r>
          </w:p>
          <w:p w:rsidR="008E0010" w:rsidRPr="00390AD0" w:rsidRDefault="008E0010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10" w:rsidRDefault="008E0010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E0010" w:rsidRDefault="008E0010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 lub 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33B" w:rsidRPr="00390AD0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Operacja przyczynia się do wzrostu wydarzeń: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Kulturalnych – 2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Edukacyjnych – 2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Sportowych – 2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Żadne z powyższych – 0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98233B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Kryterium łączne. Informacja wynika z wniosku. Kryterium wprowadzone na podstawie analizy </w:t>
            </w: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SWOT. Docelowo oddziaływanie operacji spowoduje wzrost aktywności mieszkańców i wzmocnienie więzi w miejscu zamieszkania związanych z podnoszeniem/ nabywaniem/ rozpowszechnianiem wiedzy o regionalnej kulturze.</w:t>
            </w:r>
          </w:p>
          <w:p w:rsidR="008E0010" w:rsidRPr="00390AD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10" w:rsidRDefault="008E0010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6 lub 4 lub 2 lub 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33B" w:rsidRPr="00390AD0" w:rsidTr="00FC4503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trike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Operacja jest realizowana w miejscowości poniżej 5 000 mieszkańców (badane na podstawie danych na dzień 31.12.2013r.)- 2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Operacja jest realizowana w miejscowości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4355C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o liczbie 5000 i powyżej 5000 mieszkańców (badan</w:t>
            </w: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e na podstawie danych na dzień 31.12.2013r.)- 0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Preferuje się operacje realizowane w mniejszych miejscowościach ze względu na zdiagnozowane w analizie braki w infrastrukturze i ofercie kulturalnej.</w:t>
            </w:r>
          </w:p>
          <w:p w:rsidR="008E0010" w:rsidRPr="00390AD0" w:rsidRDefault="008E0010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10" w:rsidRDefault="008E0010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E0010" w:rsidRDefault="008E0010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 lub 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33B" w:rsidRPr="00390AD0" w:rsidTr="00FC4503">
        <w:trPr>
          <w:trHeight w:val="19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Projekt skierowany jest do: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Wszystkich mieszkańców obszaru LGD – 5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Ograniczonej liczby osób – 0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98233B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Preferuje się operacje, które będą dostępne dla wszystkich. Wynika z opisu we wniosku.</w:t>
            </w:r>
          </w:p>
          <w:p w:rsidR="008E0010" w:rsidRPr="00390AD0" w:rsidRDefault="008E0010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10" w:rsidRDefault="008E0010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8E0010" w:rsidRDefault="008E0010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5 lub 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33B" w:rsidRPr="00390AD0" w:rsidTr="00FC4503">
        <w:trPr>
          <w:trHeight w:val="51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18.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Operacja przyczyni się do wzrostu kompetencji społeczeństwa – 4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Operacja nie przyczyni się do wzrostu kompetencji społeczeństwa – 0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98233B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Premiuje się operacje podnoszące kompetencje społeczeństwa. Wynika z opisu we wniosku. Operacja może dotyczyć wydarzenia edukacyjnego, informacyjnego na obszarze LSR.</w:t>
            </w:r>
          </w:p>
          <w:p w:rsidR="008E0010" w:rsidRPr="00390AD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10" w:rsidRDefault="008E0010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8E0010" w:rsidRDefault="008E0010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4 lub 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33B" w:rsidRPr="00390AD0" w:rsidTr="00FC4503">
        <w:trPr>
          <w:trHeight w:val="512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19.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Operacja jest opracowana z udziałem lokalnej społeczności , konsultacje społeczne - 5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Operacja nie jest opracowana z  udziałem lokalnej społeczności – 0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98233B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Konsultacje społeczne: operacja wynika z konkretnych potrzeb danej społeczności i rozwiązuje lokalny problem, co zostało poparte konsultacjami społecznymi. Grantobiorca powinien udokumentować przeprowadzenie konsultacji społecznych, w formie np. spotkań, badania ankietowego, innych. Konsultacje społeczne realizacji operacji powinny odbyć się w miejscowości lub na obszarze, na którym </w:t>
            </w: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będzie realizowana operacja, w tym, co najmniej jedno bezpośrednie spotkanie z mieszkańcami. Kryterium weryfikowane będzie w oparciu o opis we wniosku oraz dokumentację potwierdzającą przeprowadzenie i wyniki konsultacji przedłożone wraz z dokumentacją aplikacyjną przez Grantobiorcę.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10" w:rsidRDefault="008E0010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8E0010" w:rsidRDefault="008E0010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5 lub 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33B" w:rsidRPr="00390AD0" w:rsidTr="00FC4503">
        <w:trPr>
          <w:trHeight w:val="5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3F1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Operacja przyczynia się do integracji społeczności lokalnej z terenu wszystkich gmin obszaru LSR w tym przedstawicieli sektorów: publicznego, społecznego, gospodarczego i mieszkańców – 8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Operacja przyczynia się do integracji społeczności lokalnej z terenu jednej gminy obszaru objętego LSR w tym przedstawicieli sektorów: publicznego, społecznego, gospodarczego i mieszkańców – 4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Operacja nie przyczynia się do integracji społeczności lokalnej obszaru LSR  - 0 pkt</w:t>
            </w:r>
          </w:p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98233B" w:rsidRDefault="0098233B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Preferuje się operacje, które przyczyniają się do integracji społeczności lokalnych całego obszaru LSR w tym przedstawicieli sektorów: publicznego, społecznego, gospodarczego i mieszkańców.</w:t>
            </w:r>
          </w:p>
          <w:p w:rsidR="008E0010" w:rsidRPr="00390AD0" w:rsidRDefault="008E0010" w:rsidP="008E0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10" w:rsidRDefault="008E0010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8E0010" w:rsidRDefault="008E0010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98233B" w:rsidRPr="00390AD0" w:rsidRDefault="0098233B" w:rsidP="00F246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390AD0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8 lub 4 lub 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6970"/>
        <w:gridCol w:w="1417"/>
      </w:tblGrid>
      <w:tr w:rsidR="0098233B" w:rsidRPr="00390AD0" w:rsidTr="00FC4503">
        <w:trPr>
          <w:trHeight w:val="36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AD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Suma przyznanych punktów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3B" w:rsidRPr="00390AD0" w:rsidRDefault="0098233B" w:rsidP="00FC450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90A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Minimalna liczba punktów wymagana do wyboru operacji – </w:t>
      </w:r>
      <w:r w:rsidRPr="00683F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32</w:t>
      </w:r>
      <w:r w:rsidRPr="00390AD0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, co stanowi 30%</w:t>
      </w: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B050"/>
          <w:kern w:val="3"/>
          <w:sz w:val="24"/>
          <w:szCs w:val="24"/>
          <w:lang w:eastAsia="zh-CN" w:bidi="hi-IN"/>
        </w:rPr>
      </w:pPr>
      <w:r w:rsidRPr="00390AD0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 xml:space="preserve">Maksymalna liczba punktów do zdobycia – </w:t>
      </w:r>
      <w:r w:rsidRPr="00683F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106</w:t>
      </w: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8233B" w:rsidRPr="00683F1D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390A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Kryteria strategiczne (premiujące), brane pod uwagę w przypadku równej ilości punktów: </w:t>
      </w:r>
      <w:r w:rsidRPr="00683F1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nr 8, nr 11, nr 12</w:t>
      </w: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90A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Data oceny ………………………………….</w:t>
      </w: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8233B" w:rsidRPr="00390AD0" w:rsidRDefault="0098233B" w:rsidP="009823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90A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Czytelny podpis przewodniczącego Rady ……………………………….</w:t>
      </w:r>
    </w:p>
    <w:p w:rsidR="0098233B" w:rsidRDefault="0098233B" w:rsidP="0098233B">
      <w:pPr>
        <w:tabs>
          <w:tab w:val="left" w:pos="3919"/>
        </w:tabs>
      </w:pPr>
    </w:p>
    <w:p w:rsidR="0098233B" w:rsidRDefault="0098233B" w:rsidP="0098233B">
      <w:pPr>
        <w:tabs>
          <w:tab w:val="left" w:pos="3919"/>
        </w:tabs>
      </w:pPr>
    </w:p>
    <w:p w:rsidR="0098233B" w:rsidRDefault="0098233B" w:rsidP="0098233B">
      <w:pPr>
        <w:tabs>
          <w:tab w:val="left" w:pos="3919"/>
        </w:tabs>
      </w:pPr>
    </w:p>
    <w:p w:rsidR="00DD6B7F" w:rsidRPr="00210B18" w:rsidRDefault="00DD6B7F" w:rsidP="00210B18">
      <w:pPr>
        <w:rPr>
          <w:rFonts w:ascii="Times New Roman" w:hAnsi="Times New Roman"/>
          <w:sz w:val="24"/>
          <w:szCs w:val="24"/>
        </w:rPr>
      </w:pPr>
    </w:p>
    <w:sectPr w:rsidR="00DD6B7F" w:rsidRPr="00210B18" w:rsidSect="00433085">
      <w:headerReference w:type="default" r:id="rId9"/>
      <w:footerReference w:type="default" r:id="rId10"/>
      <w:type w:val="continuous"/>
      <w:pgSz w:w="11906" w:h="16838"/>
      <w:pgMar w:top="1417" w:right="1417" w:bottom="1276" w:left="1417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B54" w:rsidRDefault="00C14B54" w:rsidP="00AC0440">
      <w:pPr>
        <w:spacing w:after="0" w:line="240" w:lineRule="auto"/>
      </w:pPr>
      <w:r>
        <w:separator/>
      </w:r>
    </w:p>
  </w:endnote>
  <w:endnote w:type="continuationSeparator" w:id="0">
    <w:p w:rsidR="00C14B54" w:rsidRDefault="00C14B54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B54" w:rsidRDefault="00C14B54" w:rsidP="00AC0440">
      <w:pPr>
        <w:spacing w:after="0" w:line="240" w:lineRule="auto"/>
      </w:pPr>
      <w:r>
        <w:separator/>
      </w:r>
    </w:p>
  </w:footnote>
  <w:footnote w:type="continuationSeparator" w:id="0">
    <w:p w:rsidR="00C14B54" w:rsidRDefault="00C14B54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Nagwek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7"/>
  </w:num>
  <w:num w:numId="5">
    <w:abstractNumId w:val="21"/>
  </w:num>
  <w:num w:numId="6">
    <w:abstractNumId w:val="13"/>
  </w:num>
  <w:num w:numId="7">
    <w:abstractNumId w:val="5"/>
  </w:num>
  <w:num w:numId="8">
    <w:abstractNumId w:val="16"/>
  </w:num>
  <w:num w:numId="9">
    <w:abstractNumId w:val="3"/>
  </w:num>
  <w:num w:numId="10">
    <w:abstractNumId w:val="6"/>
  </w:num>
  <w:num w:numId="11">
    <w:abstractNumId w:val="22"/>
  </w:num>
  <w:num w:numId="12">
    <w:abstractNumId w:val="1"/>
  </w:num>
  <w:num w:numId="13">
    <w:abstractNumId w:val="11"/>
  </w:num>
  <w:num w:numId="14">
    <w:abstractNumId w:val="8"/>
  </w:num>
  <w:num w:numId="15">
    <w:abstractNumId w:val="10"/>
  </w:num>
  <w:num w:numId="16">
    <w:abstractNumId w:val="20"/>
  </w:num>
  <w:num w:numId="17">
    <w:abstractNumId w:val="18"/>
  </w:num>
  <w:num w:numId="18">
    <w:abstractNumId w:val="23"/>
  </w:num>
  <w:num w:numId="19">
    <w:abstractNumId w:val="19"/>
  </w:num>
  <w:num w:numId="20">
    <w:abstractNumId w:val="2"/>
  </w:num>
  <w:num w:numId="21">
    <w:abstractNumId w:val="15"/>
  </w:num>
  <w:num w:numId="22">
    <w:abstractNumId w:val="12"/>
  </w:num>
  <w:num w:numId="23">
    <w:abstractNumId w:val="4"/>
  </w:num>
  <w:num w:numId="24">
    <w:abstractNumId w:val="9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7FB4"/>
    <w:rsid w:val="00060486"/>
    <w:rsid w:val="0006342B"/>
    <w:rsid w:val="00063E78"/>
    <w:rsid w:val="00067CBF"/>
    <w:rsid w:val="0007583E"/>
    <w:rsid w:val="00094649"/>
    <w:rsid w:val="00097439"/>
    <w:rsid w:val="000B4365"/>
    <w:rsid w:val="000B63E1"/>
    <w:rsid w:val="000B75AC"/>
    <w:rsid w:val="000D1BA0"/>
    <w:rsid w:val="000E0281"/>
    <w:rsid w:val="000F0205"/>
    <w:rsid w:val="00100C88"/>
    <w:rsid w:val="00116430"/>
    <w:rsid w:val="0015732A"/>
    <w:rsid w:val="001649F6"/>
    <w:rsid w:val="00193EC0"/>
    <w:rsid w:val="001B5433"/>
    <w:rsid w:val="001D5AE1"/>
    <w:rsid w:val="001D78F6"/>
    <w:rsid w:val="001E5C5F"/>
    <w:rsid w:val="001F2212"/>
    <w:rsid w:val="001F4EDC"/>
    <w:rsid w:val="0020185B"/>
    <w:rsid w:val="002024CA"/>
    <w:rsid w:val="002025A6"/>
    <w:rsid w:val="00210B18"/>
    <w:rsid w:val="00217203"/>
    <w:rsid w:val="00222A9F"/>
    <w:rsid w:val="002316A4"/>
    <w:rsid w:val="002339CC"/>
    <w:rsid w:val="00251777"/>
    <w:rsid w:val="0025293B"/>
    <w:rsid w:val="002553BB"/>
    <w:rsid w:val="00257B20"/>
    <w:rsid w:val="0027194F"/>
    <w:rsid w:val="00277A7C"/>
    <w:rsid w:val="00281EF1"/>
    <w:rsid w:val="00291821"/>
    <w:rsid w:val="0029518E"/>
    <w:rsid w:val="002A6708"/>
    <w:rsid w:val="002B446A"/>
    <w:rsid w:val="002C02C3"/>
    <w:rsid w:val="00302BB4"/>
    <w:rsid w:val="00310CC5"/>
    <w:rsid w:val="003315C4"/>
    <w:rsid w:val="00372769"/>
    <w:rsid w:val="00375A1D"/>
    <w:rsid w:val="003A3B3A"/>
    <w:rsid w:val="003A48CA"/>
    <w:rsid w:val="003B04E5"/>
    <w:rsid w:val="003B5F6C"/>
    <w:rsid w:val="003B777B"/>
    <w:rsid w:val="003F0ADE"/>
    <w:rsid w:val="00407752"/>
    <w:rsid w:val="00420E60"/>
    <w:rsid w:val="004214D0"/>
    <w:rsid w:val="004312FC"/>
    <w:rsid w:val="00433085"/>
    <w:rsid w:val="00447073"/>
    <w:rsid w:val="0046257C"/>
    <w:rsid w:val="004866E3"/>
    <w:rsid w:val="004A53FA"/>
    <w:rsid w:val="004B6E60"/>
    <w:rsid w:val="004D28D5"/>
    <w:rsid w:val="004E577A"/>
    <w:rsid w:val="004F645E"/>
    <w:rsid w:val="00524FFE"/>
    <w:rsid w:val="0052678F"/>
    <w:rsid w:val="0053441E"/>
    <w:rsid w:val="00546DA9"/>
    <w:rsid w:val="005603CB"/>
    <w:rsid w:val="00565E45"/>
    <w:rsid w:val="005734E7"/>
    <w:rsid w:val="005B7EB1"/>
    <w:rsid w:val="005C0FD0"/>
    <w:rsid w:val="005C182C"/>
    <w:rsid w:val="005C49CC"/>
    <w:rsid w:val="005D2FE9"/>
    <w:rsid w:val="005D469F"/>
    <w:rsid w:val="005D724A"/>
    <w:rsid w:val="005E1205"/>
    <w:rsid w:val="005E482D"/>
    <w:rsid w:val="005E5F8D"/>
    <w:rsid w:val="00604805"/>
    <w:rsid w:val="006329A6"/>
    <w:rsid w:val="00634C60"/>
    <w:rsid w:val="00646F25"/>
    <w:rsid w:val="00647409"/>
    <w:rsid w:val="006627E8"/>
    <w:rsid w:val="00675A78"/>
    <w:rsid w:val="00694BE6"/>
    <w:rsid w:val="00696D2E"/>
    <w:rsid w:val="006B3828"/>
    <w:rsid w:val="006B6B89"/>
    <w:rsid w:val="006C53BE"/>
    <w:rsid w:val="006D5287"/>
    <w:rsid w:val="006E770A"/>
    <w:rsid w:val="0070352F"/>
    <w:rsid w:val="0076596A"/>
    <w:rsid w:val="00773101"/>
    <w:rsid w:val="00782E4D"/>
    <w:rsid w:val="00794843"/>
    <w:rsid w:val="00794AC2"/>
    <w:rsid w:val="007A1034"/>
    <w:rsid w:val="007A20DA"/>
    <w:rsid w:val="007A3A38"/>
    <w:rsid w:val="007A7A61"/>
    <w:rsid w:val="007B3E8B"/>
    <w:rsid w:val="007C0880"/>
    <w:rsid w:val="007D1A85"/>
    <w:rsid w:val="007D600F"/>
    <w:rsid w:val="007F3D1C"/>
    <w:rsid w:val="007F469C"/>
    <w:rsid w:val="00801B2C"/>
    <w:rsid w:val="00804848"/>
    <w:rsid w:val="00815DA7"/>
    <w:rsid w:val="0082552A"/>
    <w:rsid w:val="00835545"/>
    <w:rsid w:val="008427DE"/>
    <w:rsid w:val="00844654"/>
    <w:rsid w:val="00845B0E"/>
    <w:rsid w:val="0085241C"/>
    <w:rsid w:val="00856878"/>
    <w:rsid w:val="008620E2"/>
    <w:rsid w:val="00870F2F"/>
    <w:rsid w:val="008758A6"/>
    <w:rsid w:val="008814F7"/>
    <w:rsid w:val="008940CA"/>
    <w:rsid w:val="008A139B"/>
    <w:rsid w:val="008B05E6"/>
    <w:rsid w:val="008B3915"/>
    <w:rsid w:val="008C216C"/>
    <w:rsid w:val="008C56CD"/>
    <w:rsid w:val="008C6F97"/>
    <w:rsid w:val="008C725A"/>
    <w:rsid w:val="008D08FA"/>
    <w:rsid w:val="008D329A"/>
    <w:rsid w:val="008E0010"/>
    <w:rsid w:val="008E2E69"/>
    <w:rsid w:val="008F0F3F"/>
    <w:rsid w:val="008F6C5C"/>
    <w:rsid w:val="008F7C1F"/>
    <w:rsid w:val="00901E35"/>
    <w:rsid w:val="00931A76"/>
    <w:rsid w:val="009407CC"/>
    <w:rsid w:val="0097007E"/>
    <w:rsid w:val="00976551"/>
    <w:rsid w:val="0098233B"/>
    <w:rsid w:val="00983040"/>
    <w:rsid w:val="00984BB0"/>
    <w:rsid w:val="009A3063"/>
    <w:rsid w:val="009A3C96"/>
    <w:rsid w:val="009B068D"/>
    <w:rsid w:val="009B5195"/>
    <w:rsid w:val="009C5984"/>
    <w:rsid w:val="009D0554"/>
    <w:rsid w:val="009E3116"/>
    <w:rsid w:val="009E66E4"/>
    <w:rsid w:val="009F0077"/>
    <w:rsid w:val="009F4DE6"/>
    <w:rsid w:val="00A116B7"/>
    <w:rsid w:val="00A22B0C"/>
    <w:rsid w:val="00A22F40"/>
    <w:rsid w:val="00A3137F"/>
    <w:rsid w:val="00A4355C"/>
    <w:rsid w:val="00A45E51"/>
    <w:rsid w:val="00A71AE8"/>
    <w:rsid w:val="00A72067"/>
    <w:rsid w:val="00A72429"/>
    <w:rsid w:val="00A8698E"/>
    <w:rsid w:val="00AA6639"/>
    <w:rsid w:val="00AC0440"/>
    <w:rsid w:val="00AC1613"/>
    <w:rsid w:val="00AC5877"/>
    <w:rsid w:val="00AD30EC"/>
    <w:rsid w:val="00AD3454"/>
    <w:rsid w:val="00AD434E"/>
    <w:rsid w:val="00AD5A3D"/>
    <w:rsid w:val="00AE17B6"/>
    <w:rsid w:val="00AE3914"/>
    <w:rsid w:val="00AF15D7"/>
    <w:rsid w:val="00AF3218"/>
    <w:rsid w:val="00B24330"/>
    <w:rsid w:val="00B62C9F"/>
    <w:rsid w:val="00B66ACC"/>
    <w:rsid w:val="00B764B0"/>
    <w:rsid w:val="00B87328"/>
    <w:rsid w:val="00B948FA"/>
    <w:rsid w:val="00BA0FEB"/>
    <w:rsid w:val="00BB3348"/>
    <w:rsid w:val="00BB5B3D"/>
    <w:rsid w:val="00BB693B"/>
    <w:rsid w:val="00BC7717"/>
    <w:rsid w:val="00BD0506"/>
    <w:rsid w:val="00BD0F09"/>
    <w:rsid w:val="00C00EA8"/>
    <w:rsid w:val="00C01C21"/>
    <w:rsid w:val="00C14B54"/>
    <w:rsid w:val="00C155CF"/>
    <w:rsid w:val="00C256E2"/>
    <w:rsid w:val="00C267CC"/>
    <w:rsid w:val="00C349F3"/>
    <w:rsid w:val="00C439C1"/>
    <w:rsid w:val="00C85051"/>
    <w:rsid w:val="00C9792C"/>
    <w:rsid w:val="00CA2523"/>
    <w:rsid w:val="00CB14C8"/>
    <w:rsid w:val="00CB51BB"/>
    <w:rsid w:val="00CD346D"/>
    <w:rsid w:val="00CE650B"/>
    <w:rsid w:val="00CF1EDA"/>
    <w:rsid w:val="00D10E4A"/>
    <w:rsid w:val="00D16684"/>
    <w:rsid w:val="00D27490"/>
    <w:rsid w:val="00D27B6B"/>
    <w:rsid w:val="00D32EB2"/>
    <w:rsid w:val="00D35647"/>
    <w:rsid w:val="00D42ECE"/>
    <w:rsid w:val="00D47F42"/>
    <w:rsid w:val="00D61844"/>
    <w:rsid w:val="00D66106"/>
    <w:rsid w:val="00D93F1E"/>
    <w:rsid w:val="00DA18FF"/>
    <w:rsid w:val="00DA5CBC"/>
    <w:rsid w:val="00DB2231"/>
    <w:rsid w:val="00DC32BB"/>
    <w:rsid w:val="00DD6B7F"/>
    <w:rsid w:val="00E032C7"/>
    <w:rsid w:val="00E266F7"/>
    <w:rsid w:val="00E33317"/>
    <w:rsid w:val="00E35A1B"/>
    <w:rsid w:val="00E50A1C"/>
    <w:rsid w:val="00E63C2C"/>
    <w:rsid w:val="00E6637F"/>
    <w:rsid w:val="00E67500"/>
    <w:rsid w:val="00E67875"/>
    <w:rsid w:val="00E738A0"/>
    <w:rsid w:val="00EA359D"/>
    <w:rsid w:val="00EA48FD"/>
    <w:rsid w:val="00EA6ABD"/>
    <w:rsid w:val="00EC1D0A"/>
    <w:rsid w:val="00EE520F"/>
    <w:rsid w:val="00EF2F0C"/>
    <w:rsid w:val="00F055A1"/>
    <w:rsid w:val="00F14C26"/>
    <w:rsid w:val="00F24674"/>
    <w:rsid w:val="00F32A13"/>
    <w:rsid w:val="00F330F3"/>
    <w:rsid w:val="00F50254"/>
    <w:rsid w:val="00F57E0E"/>
    <w:rsid w:val="00F61D13"/>
    <w:rsid w:val="00F63974"/>
    <w:rsid w:val="00F665D5"/>
    <w:rsid w:val="00FB3261"/>
    <w:rsid w:val="00FC78B5"/>
    <w:rsid w:val="00FC7B50"/>
    <w:rsid w:val="00FE5DFF"/>
    <w:rsid w:val="00FF1F5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A123B-6F17-4B5C-9C20-FE844BC6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Pc</cp:lastModifiedBy>
  <cp:revision>10</cp:revision>
  <cp:lastPrinted>2016-06-03T08:04:00Z</cp:lastPrinted>
  <dcterms:created xsi:type="dcterms:W3CDTF">2019-05-21T07:23:00Z</dcterms:created>
  <dcterms:modified xsi:type="dcterms:W3CDTF">2020-09-16T09:36:00Z</dcterms:modified>
</cp:coreProperties>
</file>