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F3E8B" w:rsidRDefault="0040143D" w:rsidP="009F3E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9F3E8B" w:rsidRPr="009F3E8B">
        <w:rPr>
          <w:rFonts w:ascii="Times New Roman" w:hAnsi="Times New Roman" w:cs="Times New Roman"/>
          <w:b/>
          <w:sz w:val="24"/>
          <w:szCs w:val="24"/>
        </w:rPr>
        <w:t xml:space="preserve">Otwarcie działalności gospodarczej świadczącej mobilne usługi </w:t>
      </w:r>
    </w:p>
    <w:p w:rsidR="0040143D" w:rsidRPr="003D7E39" w:rsidRDefault="009F3E8B" w:rsidP="009F3E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46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E8B">
        <w:rPr>
          <w:rFonts w:ascii="Times New Roman" w:hAnsi="Times New Roman" w:cs="Times New Roman"/>
          <w:b/>
          <w:sz w:val="24"/>
          <w:szCs w:val="24"/>
        </w:rPr>
        <w:t>kosmetyczne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Agnieszka Górna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4B1646">
        <w:rPr>
          <w:rFonts w:ascii="Times New Roman" w:hAnsi="Times New Roman" w:cs="Times New Roman"/>
          <w:sz w:val="24"/>
          <w:szCs w:val="24"/>
        </w:rPr>
        <w:t>28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E46C88" w:rsidRDefault="00E46C8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DF3" w:rsidRPr="003D7E39" w:rsidRDefault="00264DF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dotacji zostały zakupione: stół do zabiegów kosmetycznych,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skóry, lampa lupa na statywie, biurko do manicure, frezarka kosmetyczna, rękojeść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mobilne urządzenie 7w1 do zabiegów kosmetycznych, </w:t>
      </w:r>
      <w:r w:rsidR="00E46C88">
        <w:rPr>
          <w:rFonts w:ascii="Times New Roman" w:hAnsi="Times New Roman" w:cs="Times New Roman"/>
          <w:sz w:val="24"/>
          <w:szCs w:val="24"/>
        </w:rPr>
        <w:t xml:space="preserve">autoklaw, kufer kosmetyczny do wykonywania makijażu, krzesło, kufer kosmetyczny na rolkach, podgrzewacz do wosku, </w:t>
      </w:r>
      <w:proofErr w:type="spellStart"/>
      <w:r w:rsidR="00E46C88">
        <w:rPr>
          <w:rFonts w:ascii="Times New Roman" w:hAnsi="Times New Roman" w:cs="Times New Roman"/>
          <w:sz w:val="24"/>
          <w:szCs w:val="24"/>
        </w:rPr>
        <w:t>parafiniarka</w:t>
      </w:r>
      <w:proofErr w:type="spellEnd"/>
      <w:r w:rsidR="00E46C88">
        <w:rPr>
          <w:rFonts w:ascii="Times New Roman" w:hAnsi="Times New Roman" w:cs="Times New Roman"/>
          <w:sz w:val="24"/>
          <w:szCs w:val="24"/>
        </w:rPr>
        <w:t>, urządzenie do demakijażu permanentnego, pistolet do przekłuwania uszu, lampa LED, frezarka kosmetyczna, pochłaniacz pyłu, agregat prądotwórczy, odzież kosmetyczna, peleryna kosmetyczna, kołderka zabiegowa, mobilny kuferek kosmetyczny, poduszeczka do manicure i pedicure, kasa fiskalna, materiały promocyjne.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3E8B" w:rsidRDefault="009F3E8B" w:rsidP="009F3E8B">
      <w:pPr>
        <w:jc w:val="both"/>
        <w:rPr>
          <w:color w:val="333333"/>
          <w:sz w:val="24"/>
          <w:szCs w:val="24"/>
          <w:shd w:val="clear" w:color="auto" w:fill="FFFFFF"/>
        </w:rPr>
      </w:pPr>
      <w:r w:rsidRPr="009F3E8B">
        <w:rPr>
          <w:color w:val="333333"/>
          <w:sz w:val="24"/>
          <w:szCs w:val="24"/>
          <w:shd w:val="clear" w:color="auto" w:fill="FFFFFF"/>
        </w:rPr>
        <w:t>Podstawowe i profesjonalne zabiegi kosmetyczne w domu klienta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9F3E8B">
        <w:rPr>
          <w:color w:val="333333"/>
          <w:sz w:val="24"/>
          <w:szCs w:val="24"/>
          <w:shd w:val="clear" w:color="auto" w:fill="FFFFFF"/>
        </w:rPr>
        <w:t>wykonywane przez wykwalifikowaną kosmetyczkę</w:t>
      </w:r>
      <w:r>
        <w:rPr>
          <w:color w:val="333333"/>
          <w:sz w:val="24"/>
          <w:szCs w:val="24"/>
          <w:shd w:val="clear" w:color="auto" w:fill="FFFFFF"/>
        </w:rPr>
        <w:t>.</w:t>
      </w:r>
      <w:r w:rsidR="00264DF3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Świadczone przez salon</w:t>
      </w:r>
      <w:r w:rsidRPr="009F3E8B">
        <w:rPr>
          <w:color w:val="333333"/>
          <w:sz w:val="24"/>
          <w:szCs w:val="24"/>
          <w:shd w:val="clear" w:color="auto" w:fill="FFFFFF"/>
        </w:rPr>
        <w:t xml:space="preserve"> usługi niczym nie odbiegają od tych oferowanych w stacjonarnych gabinetach. Wszystkie zabiegi wykonuję wyłącznie na profesjonalnych kosmetykach oraz </w:t>
      </w:r>
      <w:r>
        <w:rPr>
          <w:color w:val="333333"/>
          <w:sz w:val="24"/>
          <w:szCs w:val="24"/>
          <w:shd w:val="clear" w:color="auto" w:fill="FFFFFF"/>
        </w:rPr>
        <w:t>p</w:t>
      </w:r>
      <w:r w:rsidRPr="009F3E8B">
        <w:rPr>
          <w:color w:val="333333"/>
          <w:sz w:val="24"/>
          <w:szCs w:val="24"/>
          <w:shd w:val="clear" w:color="auto" w:fill="FFFFFF"/>
        </w:rPr>
        <w:t>rzy użyciu certyfikowanych urządzeń.</w:t>
      </w:r>
    </w:p>
    <w:p w:rsidR="00953479" w:rsidRDefault="009F3E8B" w:rsidP="009F3E8B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Dysponuje</w:t>
      </w:r>
      <w:r w:rsidRPr="009F3E8B">
        <w:rPr>
          <w:color w:val="333333"/>
          <w:sz w:val="24"/>
          <w:szCs w:val="24"/>
          <w:shd w:val="clear" w:color="auto" w:fill="FFFFFF"/>
        </w:rPr>
        <w:t xml:space="preserve"> profesjonalną aparaturą kosmetyczną. Posiada m.in. sprzęt do zabiegów mikrodermabrazji, peelingu kawitacyjnego, </w:t>
      </w:r>
      <w:proofErr w:type="spellStart"/>
      <w:r w:rsidRPr="009F3E8B">
        <w:rPr>
          <w:color w:val="333333"/>
          <w:sz w:val="24"/>
          <w:szCs w:val="24"/>
          <w:shd w:val="clear" w:color="auto" w:fill="FFFFFF"/>
        </w:rPr>
        <w:t>mezoterapii</w:t>
      </w:r>
      <w:proofErr w:type="spellEnd"/>
      <w:r w:rsidRPr="009F3E8B">
        <w:rPr>
          <w:color w:val="333333"/>
          <w:sz w:val="24"/>
          <w:szCs w:val="24"/>
          <w:shd w:val="clear" w:color="auto" w:fill="FFFFFF"/>
        </w:rPr>
        <w:t xml:space="preserve"> bezigłowej oraz fal radiowych. Dzięki nowatorskiej budowie w jednym mobilnym kuferku można zamknąć funkcje całego gabinetu kosmetycznego. Taki sprzęt pod względem parametrów zastosowanych podczas zabiegu nie różni się od urządzeń w stacjonarnych salonach.</w:t>
      </w:r>
    </w:p>
    <w:p w:rsidR="009F3E8B" w:rsidRDefault="009F3E8B" w:rsidP="009F3E8B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W niedługim czasie firma zdobyła dużą ilość stałych klientek i nawiązała współpracę z salonem fryzjerskim, w którym otworzyła swój stacjonarny oddział.</w:t>
      </w:r>
    </w:p>
    <w:p w:rsidR="00E46C88" w:rsidRDefault="00E46C88" w:rsidP="009F3E8B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Adres:</w:t>
      </w:r>
      <w:r w:rsidR="00A7691D">
        <w:rPr>
          <w:color w:val="333333"/>
          <w:sz w:val="24"/>
          <w:szCs w:val="24"/>
          <w:shd w:val="clear" w:color="auto" w:fill="FFFFFF"/>
        </w:rPr>
        <w:t xml:space="preserve"> 64-840 Budzyń, Oś. Wierzbowe 14a/2; 64-800 Chodzież, ul. Marcinkowskiego 12/7</w:t>
      </w:r>
    </w:p>
    <w:p w:rsidR="00A7691D" w:rsidRDefault="00246F8C" w:rsidP="009F3E8B">
      <w:pPr>
        <w:jc w:val="both"/>
        <w:rPr>
          <w:color w:val="333333"/>
          <w:sz w:val="24"/>
          <w:szCs w:val="24"/>
          <w:shd w:val="clear" w:color="auto" w:fill="FFFFFF"/>
        </w:rPr>
      </w:pPr>
      <w:hyperlink r:id="rId8" w:history="1">
        <w:r w:rsidR="00A7691D">
          <w:rPr>
            <w:rStyle w:val="Hipercze"/>
          </w:rPr>
          <w:t>https://www.facebook.com/Agnieszka.Gorna.kosmetyczka/</w:t>
        </w:r>
      </w:hyperlink>
      <w:r w:rsidR="00A7691D">
        <w:t xml:space="preserve">,  </w:t>
      </w:r>
      <w:hyperlink r:id="rId9" w:history="1">
        <w:r w:rsidR="00A7691D">
          <w:rPr>
            <w:rStyle w:val="Hipercze"/>
          </w:rPr>
          <w:t>http://kosmetyczkabudzyn.pl/</w:t>
        </w:r>
      </w:hyperlink>
    </w:p>
    <w:p w:rsidR="00567EB1" w:rsidRPr="009F3E8B" w:rsidRDefault="00567EB1" w:rsidP="009F3E8B">
      <w:pPr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29050" cy="1783243"/>
            <wp:effectExtent l="19050" t="0" r="0" b="0"/>
            <wp:docPr id="1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4" cy="178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79" w:rsidRPr="00953479" w:rsidRDefault="00246F8C" w:rsidP="0095347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57600" cy="4868478"/>
            <wp:effectExtent l="0" t="0" r="0" b="0"/>
            <wp:docPr id="12" name="Obraz 12" descr="https://scontent.fpoz1-1.fna.fbcdn.net/v/t1.15752-9/101149942_950935242023296_7375834512372006912_n.jpg?_nc_cat=107&amp;_nc_sid=b96e70&amp;_nc_ohc=5TfPE8MTHDYAX9FQBpc&amp;_nc_ht=scontent.fpoz1-1.fna&amp;oh=35fe501ea9461c61c5368c92cbaaa963&amp;oe=5EF99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1-1.fna.fbcdn.net/v/t1.15752-9/101149942_950935242023296_7375834512372006912_n.jpg?_nc_cat=107&amp;_nc_sid=b96e70&amp;_nc_ohc=5TfPE8MTHDYAX9FQBpc&amp;_nc_ht=scontent.fpoz1-1.fna&amp;oh=35fe501ea9461c61c5368c92cbaaa963&amp;oe=5EF9999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60" cy="48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EE2" w:rsidRDefault="00AA09C6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5" name="Obraz 2" descr="Realiz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zacj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AA09C6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525" cy="9525"/>
            <wp:effectExtent l="0" t="0" r="0" b="0"/>
            <wp:docPr id="7" name="Obraz 5" descr="Realiz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lizacj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33888" cy="6334125"/>
            <wp:effectExtent l="19050" t="0" r="4762" b="0"/>
            <wp:docPr id="8" name="Obraz 8" descr="https://scontent.fpoz2-1.fna.fbcdn.net/v/t1.0-9/55624292_2057652144281814_3257705253469945856_n.jpg?_nc_cat=106&amp;_nc_sid=110474&amp;_nc_ohc=OBTnaHikLlMAX-uTP5r&amp;_nc_ht=scontent.fpoz2-1.fna&amp;oh=e8f960a02d0c7ffb66736cd8db6718b3&amp;oe=5EE27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poz2-1.fna.fbcdn.net/v/t1.0-9/55624292_2057652144281814_3257705253469945856_n.jpg?_nc_cat=106&amp;_nc_sid=110474&amp;_nc_ohc=OBTnaHikLlMAX-uTP5r&amp;_nc_ht=scontent.fpoz2-1.fna&amp;oh=e8f960a02d0c7ffb66736cd8db6718b3&amp;oe=5EE27D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88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901EE2" w:rsidRDefault="00AA09C6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60521" cy="6915150"/>
            <wp:effectExtent l="19050" t="0" r="6729" b="0"/>
            <wp:docPr id="9" name="Obraz 1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5" cy="69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5" w:rsidRDefault="005211D5" w:rsidP="002C682E"/>
    <w:p w:rsidR="00901EE2" w:rsidRDefault="00901EE2" w:rsidP="002C682E"/>
    <w:p w:rsidR="00901EE2" w:rsidRDefault="00AA09C6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6539750"/>
            <wp:effectExtent l="19050" t="0" r="0" b="0"/>
            <wp:docPr id="14" name="Obraz 14" descr="Obraz może zawierać: co najmniej jedna osoba i zbliż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może zawierać: co najmniej jedna osoba i zbliże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C6" w:rsidRPr="003D7E39" w:rsidRDefault="00AA09C6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5574697"/>
            <wp:effectExtent l="19050" t="0" r="0" b="0"/>
            <wp:docPr id="10" name="Obraz 17" descr="Obraz może zawierać: co najmniej jedna osoba i zbliż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może zawierać: co najmniej jedna osoba i zbliże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9C6" w:rsidRPr="003D7E39" w:rsidSect="00B9628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C1" w:rsidRDefault="001F5AC1" w:rsidP="00E23DC0">
      <w:pPr>
        <w:spacing w:after="0" w:line="240" w:lineRule="auto"/>
      </w:pPr>
      <w:r>
        <w:separator/>
      </w:r>
    </w:p>
  </w:endnote>
  <w:endnote w:type="continuationSeparator" w:id="0">
    <w:p w:rsidR="001F5AC1" w:rsidRDefault="001F5AC1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C1" w:rsidRDefault="001F5AC1" w:rsidP="00E23DC0">
      <w:pPr>
        <w:spacing w:after="0" w:line="240" w:lineRule="auto"/>
      </w:pPr>
      <w:r>
        <w:separator/>
      </w:r>
    </w:p>
  </w:footnote>
  <w:footnote w:type="continuationSeparator" w:id="0">
    <w:p w:rsidR="001F5AC1" w:rsidRDefault="001F5AC1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1116AF"/>
    <w:rsid w:val="00157626"/>
    <w:rsid w:val="00185E2C"/>
    <w:rsid w:val="0019525B"/>
    <w:rsid w:val="001A6238"/>
    <w:rsid w:val="001F5AC1"/>
    <w:rsid w:val="00210EE1"/>
    <w:rsid w:val="00246F8C"/>
    <w:rsid w:val="00261F2A"/>
    <w:rsid w:val="002643C0"/>
    <w:rsid w:val="00264DF3"/>
    <w:rsid w:val="002B2FF8"/>
    <w:rsid w:val="002B6F3B"/>
    <w:rsid w:val="002B74F8"/>
    <w:rsid w:val="002C682E"/>
    <w:rsid w:val="00344FFA"/>
    <w:rsid w:val="003D7E39"/>
    <w:rsid w:val="0040143D"/>
    <w:rsid w:val="00411DC4"/>
    <w:rsid w:val="004773FE"/>
    <w:rsid w:val="004B1646"/>
    <w:rsid w:val="005211D5"/>
    <w:rsid w:val="00524D0B"/>
    <w:rsid w:val="00557C58"/>
    <w:rsid w:val="00567EB1"/>
    <w:rsid w:val="005C5908"/>
    <w:rsid w:val="006276A4"/>
    <w:rsid w:val="00660B8F"/>
    <w:rsid w:val="006B4963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A6503"/>
    <w:rsid w:val="009B3FEC"/>
    <w:rsid w:val="009F1693"/>
    <w:rsid w:val="009F3E8B"/>
    <w:rsid w:val="009F50CB"/>
    <w:rsid w:val="00A3749D"/>
    <w:rsid w:val="00A7691D"/>
    <w:rsid w:val="00AA09C6"/>
    <w:rsid w:val="00AC11B7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10C9"/>
    <w:rsid w:val="00DF7300"/>
    <w:rsid w:val="00E16AC5"/>
    <w:rsid w:val="00E23DC0"/>
    <w:rsid w:val="00E46C88"/>
    <w:rsid w:val="00EB4278"/>
    <w:rsid w:val="00F1161B"/>
    <w:rsid w:val="00F178DD"/>
    <w:rsid w:val="00F511F1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BFCE6D3-357B-4CC1-99C8-7FF5849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nieszka.Gorna.kosmetyczka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smetyczkabudzyn.pl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0643-FB55-426C-9BD4-607DDEA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7</cp:revision>
  <cp:lastPrinted>2018-03-14T12:32:00Z</cp:lastPrinted>
  <dcterms:created xsi:type="dcterms:W3CDTF">2020-05-13T11:16:00Z</dcterms:created>
  <dcterms:modified xsi:type="dcterms:W3CDTF">2020-06-01T11:51:00Z</dcterms:modified>
</cp:coreProperties>
</file>